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AEEF3" w:themeColor="accent5" w:themeTint="33"/>
  <w:body>
    <w:p w14:paraId="593FA57E" w14:textId="0B9C1C2A" w:rsidR="00ED1793" w:rsidRDefault="006535FB"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r>
        <w:rPr>
          <w:rFonts w:ascii="Times New Roman" w:eastAsia="Times New Roman" w:hAnsi="Times New Roman" w:cs="Times New Roman"/>
          <w:noProof/>
          <w:color w:val="000000"/>
          <w:sz w:val="28"/>
          <w:szCs w:val="28"/>
          <w:rtl/>
          <w:lang w:val="ar-SA"/>
        </w:rPr>
        <w:drawing>
          <wp:anchor distT="0" distB="0" distL="114300" distR="114300" simplePos="0" relativeHeight="251662336" behindDoc="1" locked="0" layoutInCell="1" allowOverlap="1" wp14:anchorId="7EF1252F" wp14:editId="477C2AB2">
            <wp:simplePos x="0" y="0"/>
            <wp:positionH relativeFrom="column">
              <wp:posOffset>-914400</wp:posOffset>
            </wp:positionH>
            <wp:positionV relativeFrom="paragraph">
              <wp:posOffset>-914400</wp:posOffset>
            </wp:positionV>
            <wp:extent cx="7764780" cy="100504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4942" cy="10063602"/>
                    </a:xfrm>
                    <a:prstGeom prst="rect">
                      <a:avLst/>
                    </a:prstGeom>
                  </pic:spPr>
                </pic:pic>
              </a:graphicData>
            </a:graphic>
            <wp14:sizeRelH relativeFrom="margin">
              <wp14:pctWidth>0</wp14:pctWidth>
            </wp14:sizeRelH>
            <wp14:sizeRelV relativeFrom="margin">
              <wp14:pctHeight>0</wp14:pctHeight>
            </wp14:sizeRelV>
          </wp:anchor>
        </w:drawing>
      </w:r>
    </w:p>
    <w:p w14:paraId="5A9DA203" w14:textId="288B9EC9"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0F576096" w14:textId="302D2A90"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lang w:bidi="ar-EG"/>
        </w:rPr>
      </w:pPr>
    </w:p>
    <w:p w14:paraId="4FC69DCB" w14:textId="11A05987"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4F974F48" w14:textId="7AC962AE"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1ADBB223" w14:textId="794DA52E"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32C6C5F4" w14:textId="0EA4FF61"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6AE5E8A1" w14:textId="111A51C4"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39BF879F" w14:textId="03C2BA2E"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606D1AE6" w14:textId="54ADDF7E"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2D63BADE" w14:textId="6604A52C"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5B41709C" w14:textId="7889F286"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5F2A076C" w14:textId="6A6BA71A"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3EF68DBA" w14:textId="13A7E706"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2B568B7A" w14:textId="323186F0"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311260D5" w14:textId="29199556"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5582C26F" w14:textId="1469ED06"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3EB6CAB5" w14:textId="058B5F32"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4ECFA1AF" w14:textId="0E7A89F9"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0E0BCF4E" w14:textId="761C9F80"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431FEC3C" w14:textId="3AB681A7"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0698C4EE" w14:textId="2DC78919"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5AE3451E" w14:textId="5BDF8336"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28B99D5D" w14:textId="73D6BE17"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1047793C" w14:textId="2102B676"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001E812C" w14:textId="2D4E2038"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2936D6C5" w14:textId="37D9FDF0"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40EFA6C5" w14:textId="44DDB174"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07ED7979" w14:textId="77777777"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4BFED1E4" w14:textId="7972DEBF" w:rsidR="00ED1793" w:rsidRDefault="00ED1793"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p>
    <w:p w14:paraId="5BC268C2" w14:textId="46D84DFB" w:rsidR="00ED1793" w:rsidRDefault="006535FB" w:rsidP="00ED1793">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color w:val="000000"/>
          <w:sz w:val="28"/>
          <w:szCs w:val="28"/>
          <w:rtl/>
        </w:rPr>
      </w:pPr>
      <w:r>
        <w:rPr>
          <w:rFonts w:ascii="Times New Roman" w:eastAsia="Times New Roman" w:hAnsi="Times New Roman" w:cs="Times New Roman"/>
          <w:noProof/>
          <w:color w:val="FF0000"/>
          <w:sz w:val="32"/>
          <w:szCs w:val="32"/>
          <w:rtl/>
          <w:lang w:val="ar-SA"/>
        </w:rPr>
        <w:drawing>
          <wp:anchor distT="0" distB="0" distL="114300" distR="114300" simplePos="0" relativeHeight="251658752" behindDoc="1" locked="0" layoutInCell="1" allowOverlap="1" wp14:anchorId="78016C7D" wp14:editId="35AEE5AF">
            <wp:simplePos x="0" y="0"/>
            <wp:positionH relativeFrom="column">
              <wp:posOffset>3825851</wp:posOffset>
            </wp:positionH>
            <wp:positionV relativeFrom="paragraph">
              <wp:posOffset>264242</wp:posOffset>
            </wp:positionV>
            <wp:extent cx="490118" cy="46659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580" cy="474648"/>
                    </a:xfrm>
                    <a:prstGeom prst="rect">
                      <a:avLst/>
                    </a:prstGeom>
                  </pic:spPr>
                </pic:pic>
              </a:graphicData>
            </a:graphic>
            <wp14:sizeRelH relativeFrom="margin">
              <wp14:pctWidth>0</wp14:pctWidth>
            </wp14:sizeRelH>
            <wp14:sizeRelV relativeFrom="margin">
              <wp14:pctHeight>0</wp14:pctHeight>
            </wp14:sizeRelV>
          </wp:anchor>
        </w:drawing>
      </w:r>
    </w:p>
    <w:p w14:paraId="2682BCF3" w14:textId="44ABBB8C" w:rsidR="00EB6EE8" w:rsidRPr="006535FB" w:rsidRDefault="006535FB" w:rsidP="006535FB">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hint="cs"/>
          <w:b/>
          <w:bCs/>
          <w:color w:val="000000"/>
          <w:sz w:val="28"/>
          <w:szCs w:val="28"/>
          <w:rtl/>
        </w:rPr>
        <w:t xml:space="preserve">             </w:t>
      </w:r>
      <w:r w:rsidR="001C2DB7" w:rsidRPr="006535FB">
        <w:rPr>
          <w:rFonts w:ascii="Times New Roman" w:eastAsia="Times New Roman" w:hAnsi="Times New Roman" w:cs="Times New Roman"/>
          <w:b/>
          <w:bCs/>
          <w:color w:val="000000"/>
          <w:sz w:val="28"/>
          <w:szCs w:val="28"/>
          <w:rtl/>
        </w:rPr>
        <w:t>الشبكة العربية لمعلومات حقوق الإنسان</w:t>
      </w:r>
    </w:p>
    <w:p w14:paraId="0894C295" w14:textId="42DAB182" w:rsidR="00ED1793" w:rsidRPr="006535FB" w:rsidRDefault="006535FB" w:rsidP="006535FB">
      <w:pPr>
        <w:widowControl w:val="0"/>
        <w:pBdr>
          <w:top w:val="nil"/>
          <w:left w:val="nil"/>
          <w:bottom w:val="nil"/>
          <w:right w:val="nil"/>
          <w:between w:val="nil"/>
        </w:pBdr>
        <w:tabs>
          <w:tab w:val="left" w:pos="709"/>
        </w:tabs>
        <w:spacing w:after="120" w:line="240" w:lineRule="auto"/>
        <w:ind w:left="1" w:hanging="3"/>
        <w:jc w:val="center"/>
        <w:rPr>
          <w:rFonts w:ascii="Times New Roman" w:eastAsia="Times New Roman" w:hAnsi="Times New Roman" w:cs="Times New Roman"/>
          <w:b/>
          <w:bCs/>
          <w:color w:val="000000"/>
          <w:sz w:val="28"/>
          <w:szCs w:val="28"/>
          <w:rtl/>
        </w:rPr>
      </w:pPr>
      <w:r>
        <w:rPr>
          <w:rFonts w:ascii="Times New Roman" w:eastAsia="Times New Roman" w:hAnsi="Times New Roman" w:cs="Times New Roman" w:hint="cs"/>
          <w:b/>
          <w:bCs/>
          <w:color w:val="000000"/>
          <w:sz w:val="28"/>
          <w:szCs w:val="28"/>
          <w:rtl/>
        </w:rPr>
        <w:t xml:space="preserve">              </w:t>
      </w:r>
      <w:r w:rsidR="001C2DB7" w:rsidRPr="006535FB">
        <w:rPr>
          <w:rFonts w:ascii="Times New Roman" w:eastAsia="Times New Roman" w:hAnsi="Times New Roman" w:cs="Times New Roman"/>
          <w:b/>
          <w:bCs/>
          <w:color w:val="000000"/>
          <w:sz w:val="28"/>
          <w:szCs w:val="28"/>
          <w:rtl/>
        </w:rPr>
        <w:t>مبادرة "محامون من أجل الديمقراطية</w:t>
      </w:r>
    </w:p>
    <w:p w14:paraId="786E8811" w14:textId="272FAC6D" w:rsidR="006535FB" w:rsidRDefault="006535FB" w:rsidP="006535FB">
      <w:pPr>
        <w:widowControl w:val="0"/>
        <w:pBdr>
          <w:top w:val="nil"/>
          <w:left w:val="nil"/>
          <w:bottom w:val="nil"/>
          <w:right w:val="nil"/>
          <w:between w:val="nil"/>
        </w:pBdr>
        <w:tabs>
          <w:tab w:val="left" w:pos="709"/>
        </w:tabs>
        <w:spacing w:after="120" w:line="240" w:lineRule="auto"/>
        <w:ind w:left="1" w:hanging="3"/>
        <w:rPr>
          <w:rFonts w:ascii="Times New Roman" w:eastAsia="Times New Roman" w:hAnsi="Times New Roman" w:cs="Times New Roman"/>
          <w:color w:val="000000"/>
          <w:sz w:val="28"/>
          <w:szCs w:val="28"/>
          <w:rtl/>
        </w:rPr>
      </w:pPr>
    </w:p>
    <w:p w14:paraId="5D86A3DF" w14:textId="1149836C" w:rsidR="006535FB" w:rsidRDefault="006535FB" w:rsidP="006535FB">
      <w:pPr>
        <w:widowControl w:val="0"/>
        <w:pBdr>
          <w:top w:val="nil"/>
          <w:left w:val="nil"/>
          <w:bottom w:val="nil"/>
          <w:right w:val="nil"/>
          <w:between w:val="nil"/>
        </w:pBdr>
        <w:tabs>
          <w:tab w:val="left" w:pos="709"/>
        </w:tabs>
        <w:spacing w:after="120" w:line="240" w:lineRule="auto"/>
        <w:ind w:left="1" w:hanging="3"/>
        <w:rPr>
          <w:rFonts w:ascii="Times New Roman" w:eastAsia="Times New Roman" w:hAnsi="Times New Roman" w:cs="Times New Roman"/>
          <w:color w:val="000000"/>
          <w:sz w:val="28"/>
          <w:szCs w:val="28"/>
          <w:rtl/>
        </w:rPr>
      </w:pPr>
    </w:p>
    <w:p w14:paraId="4C437ECE" w14:textId="546483FE" w:rsidR="006535FB" w:rsidRDefault="006535FB" w:rsidP="006535FB">
      <w:pPr>
        <w:widowControl w:val="0"/>
        <w:pBdr>
          <w:top w:val="nil"/>
          <w:left w:val="nil"/>
          <w:bottom w:val="nil"/>
          <w:right w:val="nil"/>
          <w:between w:val="nil"/>
        </w:pBdr>
        <w:tabs>
          <w:tab w:val="left" w:pos="709"/>
        </w:tabs>
        <w:spacing w:after="120" w:line="240" w:lineRule="auto"/>
        <w:ind w:left="1" w:hanging="3"/>
        <w:rPr>
          <w:rFonts w:ascii="Times New Roman" w:eastAsia="Times New Roman" w:hAnsi="Times New Roman" w:cs="Times New Roman"/>
          <w:color w:val="000000"/>
          <w:sz w:val="28"/>
          <w:szCs w:val="28"/>
          <w:rtl/>
        </w:rPr>
      </w:pPr>
    </w:p>
    <w:p w14:paraId="2F289B57" w14:textId="4880F3BD" w:rsidR="006535FB" w:rsidRDefault="006535FB" w:rsidP="006535FB">
      <w:pPr>
        <w:widowControl w:val="0"/>
        <w:pBdr>
          <w:top w:val="nil"/>
          <w:left w:val="nil"/>
          <w:bottom w:val="nil"/>
          <w:right w:val="nil"/>
          <w:between w:val="nil"/>
        </w:pBdr>
        <w:tabs>
          <w:tab w:val="left" w:pos="709"/>
        </w:tabs>
        <w:spacing w:after="120" w:line="240" w:lineRule="auto"/>
        <w:ind w:left="1" w:hanging="3"/>
        <w:rPr>
          <w:rFonts w:ascii="Times New Roman" w:eastAsia="Times New Roman" w:hAnsi="Times New Roman" w:cs="Times New Roman"/>
          <w:color w:val="000000"/>
          <w:sz w:val="28"/>
          <w:szCs w:val="28"/>
          <w:rtl/>
        </w:rPr>
      </w:pPr>
    </w:p>
    <w:p w14:paraId="6DDC1B5F" w14:textId="30131023" w:rsidR="006535FB" w:rsidRDefault="006535FB" w:rsidP="006535FB">
      <w:pPr>
        <w:widowControl w:val="0"/>
        <w:pBdr>
          <w:top w:val="nil"/>
          <w:left w:val="nil"/>
          <w:bottom w:val="nil"/>
          <w:right w:val="nil"/>
          <w:between w:val="nil"/>
        </w:pBdr>
        <w:tabs>
          <w:tab w:val="left" w:pos="709"/>
        </w:tabs>
        <w:spacing w:after="120" w:line="240" w:lineRule="auto"/>
        <w:ind w:left="1" w:hanging="3"/>
        <w:rPr>
          <w:rFonts w:ascii="Times New Roman" w:eastAsia="Times New Roman" w:hAnsi="Times New Roman" w:cs="Times New Roman"/>
          <w:color w:val="000000"/>
          <w:sz w:val="28"/>
          <w:szCs w:val="28"/>
          <w:rtl/>
        </w:rPr>
      </w:pPr>
    </w:p>
    <w:p w14:paraId="665ED5AC" w14:textId="1C0BF45B" w:rsidR="006535FB" w:rsidRDefault="006535FB" w:rsidP="006535FB">
      <w:pPr>
        <w:widowControl w:val="0"/>
        <w:pBdr>
          <w:top w:val="nil"/>
          <w:left w:val="nil"/>
          <w:bottom w:val="nil"/>
          <w:right w:val="nil"/>
          <w:between w:val="nil"/>
        </w:pBdr>
        <w:tabs>
          <w:tab w:val="left" w:pos="709"/>
        </w:tabs>
        <w:spacing w:after="120" w:line="240" w:lineRule="auto"/>
        <w:ind w:left="1" w:hanging="3"/>
        <w:rPr>
          <w:rFonts w:ascii="Times New Roman" w:eastAsia="Times New Roman" w:hAnsi="Times New Roman" w:cs="Times New Roman"/>
          <w:color w:val="000000"/>
          <w:sz w:val="28"/>
          <w:szCs w:val="28"/>
          <w:rtl/>
        </w:rPr>
      </w:pPr>
    </w:p>
    <w:p w14:paraId="02ABBDEC" w14:textId="77777777" w:rsidR="006535FB" w:rsidRPr="00ED1793" w:rsidRDefault="006535FB" w:rsidP="006535FB">
      <w:pPr>
        <w:widowControl w:val="0"/>
        <w:pBdr>
          <w:top w:val="nil"/>
          <w:left w:val="nil"/>
          <w:bottom w:val="nil"/>
          <w:right w:val="nil"/>
          <w:between w:val="nil"/>
        </w:pBdr>
        <w:tabs>
          <w:tab w:val="left" w:pos="709"/>
        </w:tabs>
        <w:spacing w:after="120" w:line="240" w:lineRule="auto"/>
        <w:ind w:left="1" w:hanging="3"/>
        <w:rPr>
          <w:rFonts w:ascii="Times New Roman" w:eastAsia="Times New Roman" w:hAnsi="Times New Roman" w:cs="Times New Roman"/>
          <w:color w:val="000000"/>
          <w:sz w:val="28"/>
          <w:szCs w:val="28"/>
          <w:rtl/>
        </w:rPr>
      </w:pPr>
    </w:p>
    <w:p w14:paraId="4923E2DF" w14:textId="277326BF" w:rsidR="00ED1793" w:rsidRDefault="00ED1793" w:rsidP="00ED1793">
      <w:pPr>
        <w:widowControl w:val="0"/>
        <w:pBdr>
          <w:top w:val="nil"/>
          <w:left w:val="nil"/>
          <w:bottom w:val="nil"/>
          <w:right w:val="nil"/>
          <w:between w:val="nil"/>
        </w:pBdr>
        <w:tabs>
          <w:tab w:val="left" w:pos="709"/>
        </w:tabs>
        <w:spacing w:after="120" w:line="240" w:lineRule="auto"/>
        <w:ind w:leftChars="0" w:left="0" w:firstLineChars="0" w:firstLine="0"/>
        <w:rPr>
          <w:rFonts w:ascii="Times New Roman" w:eastAsia="Times New Roman" w:hAnsi="Times New Roman" w:cs="Times New Roman"/>
          <w:color w:val="000000"/>
          <w:sz w:val="36"/>
          <w:szCs w:val="36"/>
          <w:rtl/>
        </w:rPr>
      </w:pPr>
    </w:p>
    <w:p w14:paraId="1686FA08" w14:textId="33DE7D16" w:rsidR="00ED1793" w:rsidRPr="00ED1793" w:rsidRDefault="001C2DB7">
      <w:pPr>
        <w:widowControl w:val="0"/>
        <w:pBdr>
          <w:top w:val="nil"/>
          <w:left w:val="nil"/>
          <w:bottom w:val="nil"/>
          <w:right w:val="nil"/>
          <w:between w:val="nil"/>
        </w:pBdr>
        <w:tabs>
          <w:tab w:val="left" w:pos="709"/>
        </w:tabs>
        <w:spacing w:after="120" w:line="240" w:lineRule="auto"/>
        <w:ind w:left="5" w:hanging="7"/>
        <w:jc w:val="center"/>
        <w:rPr>
          <w:rFonts w:ascii="(A) Arslan Wessam B" w:eastAsia="Times New Roman" w:hAnsi="(A) Arslan Wessam B" w:cs="(A) Arslan Wessam B"/>
          <w:color w:val="000000"/>
          <w:sz w:val="72"/>
          <w:szCs w:val="72"/>
          <w:rtl/>
        </w:rPr>
      </w:pPr>
      <w:r w:rsidRPr="00ED1793">
        <w:rPr>
          <w:rFonts w:ascii="(A) Arslan Wessam B" w:eastAsia="Times New Roman" w:hAnsi="(A) Arslan Wessam B" w:cs="(A) Arslan Wessam B"/>
          <w:color w:val="000000"/>
          <w:sz w:val="72"/>
          <w:szCs w:val="72"/>
          <w:rtl/>
        </w:rPr>
        <w:t>المسار الديمقراطي في مصر</w:t>
      </w:r>
    </w:p>
    <w:p w14:paraId="2D6DE999" w14:textId="433ECA10" w:rsidR="00EB6EE8" w:rsidRPr="00ED1793" w:rsidRDefault="001C2DB7">
      <w:pPr>
        <w:widowControl w:val="0"/>
        <w:pBdr>
          <w:top w:val="nil"/>
          <w:left w:val="nil"/>
          <w:bottom w:val="nil"/>
          <w:right w:val="nil"/>
          <w:between w:val="nil"/>
        </w:pBdr>
        <w:tabs>
          <w:tab w:val="left" w:pos="709"/>
        </w:tabs>
        <w:spacing w:after="120" w:line="240" w:lineRule="auto"/>
        <w:ind w:left="5" w:hanging="7"/>
        <w:jc w:val="center"/>
        <w:rPr>
          <w:rFonts w:ascii="(A) Arslan Wessam B" w:eastAsia="Times New Roman" w:hAnsi="(A) Arslan Wessam B" w:cs="(A) Arslan Wessam B"/>
          <w:color w:val="000000"/>
          <w:sz w:val="72"/>
          <w:szCs w:val="72"/>
        </w:rPr>
      </w:pPr>
      <w:r w:rsidRPr="00ED1793">
        <w:rPr>
          <w:rFonts w:ascii="(A) Arslan Wessam B" w:eastAsia="Times New Roman" w:hAnsi="(A) Arslan Wessam B" w:cs="(A) Arslan Wessam B"/>
          <w:color w:val="000000"/>
          <w:sz w:val="72"/>
          <w:szCs w:val="72"/>
          <w:rtl/>
        </w:rPr>
        <w:t>خلال الربع الثالث من عام  2021</w:t>
      </w:r>
    </w:p>
    <w:p w14:paraId="6CA757D0" w14:textId="5699D8CB" w:rsidR="00EB6EE8" w:rsidRDefault="00EB6EE8">
      <w:pPr>
        <w:widowControl w:val="0"/>
        <w:pBdr>
          <w:top w:val="nil"/>
          <w:left w:val="nil"/>
          <w:bottom w:val="nil"/>
          <w:right w:val="nil"/>
          <w:between w:val="nil"/>
        </w:pBdr>
        <w:tabs>
          <w:tab w:val="left" w:pos="709"/>
        </w:tabs>
        <w:spacing w:after="120" w:line="240" w:lineRule="auto"/>
        <w:ind w:left="1" w:hanging="3"/>
        <w:jc w:val="both"/>
        <w:rPr>
          <w:rFonts w:ascii="Times New Roman" w:eastAsia="Times New Roman" w:hAnsi="Times New Roman" w:cs="Times New Roman"/>
          <w:color w:val="000000"/>
          <w:sz w:val="28"/>
          <w:szCs w:val="28"/>
        </w:rPr>
      </w:pPr>
    </w:p>
    <w:p w14:paraId="6F97EA0A" w14:textId="074214D2"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imes New Roman" w:eastAsia="Times New Roman" w:hAnsi="Times New Roman" w:cs="Times New Roman"/>
          <w:color w:val="FF0000"/>
          <w:sz w:val="32"/>
          <w:szCs w:val="32"/>
          <w:rtl/>
        </w:rPr>
      </w:pPr>
    </w:p>
    <w:p w14:paraId="6F516325" w14:textId="335B9C1A" w:rsidR="00ED1793" w:rsidRDefault="00ED1793" w:rsidP="00ED1793">
      <w:pPr>
        <w:widowControl w:val="0"/>
        <w:pBdr>
          <w:top w:val="nil"/>
          <w:left w:val="nil"/>
          <w:bottom w:val="nil"/>
          <w:right w:val="nil"/>
          <w:between w:val="nil"/>
        </w:pBdr>
        <w:tabs>
          <w:tab w:val="left" w:pos="709"/>
        </w:tabs>
        <w:spacing w:after="120" w:line="240" w:lineRule="auto"/>
        <w:ind w:leftChars="0" w:left="0" w:firstLineChars="0" w:firstLine="0"/>
        <w:jc w:val="both"/>
        <w:rPr>
          <w:rFonts w:ascii="Times New Roman" w:eastAsia="Times New Roman" w:hAnsi="Times New Roman" w:cs="Times New Roman"/>
          <w:color w:val="FF0000"/>
          <w:sz w:val="32"/>
          <w:szCs w:val="32"/>
          <w:rtl/>
        </w:rPr>
      </w:pPr>
    </w:p>
    <w:p w14:paraId="727962FC" w14:textId="0D8577C9"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imes New Roman" w:eastAsia="Times New Roman" w:hAnsi="Times New Roman" w:cs="Times New Roman"/>
          <w:color w:val="FF0000"/>
          <w:sz w:val="32"/>
          <w:szCs w:val="32"/>
          <w:rtl/>
        </w:rPr>
      </w:pPr>
    </w:p>
    <w:p w14:paraId="1E07109C" w14:textId="164B4177"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imes New Roman" w:eastAsia="Times New Roman" w:hAnsi="Times New Roman" w:cs="Times New Roman"/>
          <w:color w:val="FF0000"/>
          <w:sz w:val="32"/>
          <w:szCs w:val="32"/>
          <w:rtl/>
        </w:rPr>
      </w:pPr>
    </w:p>
    <w:p w14:paraId="0D41EED1" w14:textId="00CFF02D"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imes New Roman" w:eastAsia="Times New Roman" w:hAnsi="Times New Roman" w:cs="Times New Roman"/>
          <w:color w:val="FF0000"/>
          <w:sz w:val="32"/>
          <w:szCs w:val="32"/>
          <w:rtl/>
        </w:rPr>
      </w:pPr>
    </w:p>
    <w:p w14:paraId="291E5DEE" w14:textId="7D4DD785"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imes New Roman" w:eastAsia="Times New Roman" w:hAnsi="Times New Roman" w:cs="Times New Roman"/>
          <w:color w:val="FF0000"/>
          <w:sz w:val="32"/>
          <w:szCs w:val="32"/>
          <w:rtl/>
        </w:rPr>
      </w:pPr>
    </w:p>
    <w:p w14:paraId="42D696EA" w14:textId="00E8FEC8"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imes New Roman" w:eastAsia="Times New Roman" w:hAnsi="Times New Roman" w:cs="Times New Roman"/>
          <w:color w:val="FF0000"/>
          <w:sz w:val="32"/>
          <w:szCs w:val="32"/>
          <w:rtl/>
        </w:rPr>
      </w:pPr>
    </w:p>
    <w:p w14:paraId="6C28E05E" w14:textId="19203B4B"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imes New Roman" w:eastAsia="Times New Roman" w:hAnsi="Times New Roman" w:cs="Times New Roman"/>
          <w:color w:val="FF0000"/>
          <w:sz w:val="32"/>
          <w:szCs w:val="32"/>
          <w:rtl/>
        </w:rPr>
      </w:pPr>
    </w:p>
    <w:p w14:paraId="3270CF3C" w14:textId="75F30B47"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imes New Roman" w:eastAsia="Times New Roman" w:hAnsi="Times New Roman" w:cs="Times New Roman"/>
          <w:color w:val="FF0000"/>
          <w:sz w:val="32"/>
          <w:szCs w:val="32"/>
          <w:rtl/>
        </w:rPr>
      </w:pPr>
    </w:p>
    <w:p w14:paraId="0224FAC2" w14:textId="5E24040E"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imes New Roman" w:eastAsia="Times New Roman" w:hAnsi="Times New Roman" w:cs="Times New Roman"/>
          <w:color w:val="FF0000"/>
          <w:sz w:val="32"/>
          <w:szCs w:val="32"/>
          <w:rtl/>
        </w:rPr>
      </w:pPr>
    </w:p>
    <w:p w14:paraId="4732F059" w14:textId="4C6AD204" w:rsidR="00ED1793" w:rsidRDefault="00ED1793" w:rsidP="00ED1793">
      <w:pPr>
        <w:widowControl w:val="0"/>
        <w:pBdr>
          <w:top w:val="nil"/>
          <w:left w:val="nil"/>
          <w:bottom w:val="nil"/>
          <w:right w:val="nil"/>
          <w:between w:val="nil"/>
        </w:pBdr>
        <w:tabs>
          <w:tab w:val="left" w:pos="709"/>
        </w:tabs>
        <w:spacing w:after="120" w:line="240" w:lineRule="auto"/>
        <w:ind w:leftChars="0" w:left="0" w:firstLineChars="0" w:firstLine="0"/>
        <w:jc w:val="both"/>
        <w:rPr>
          <w:rFonts w:ascii="Times New Roman" w:eastAsia="Times New Roman" w:hAnsi="Times New Roman" w:cs="Times New Roman"/>
          <w:color w:val="FF0000"/>
          <w:sz w:val="32"/>
          <w:szCs w:val="32"/>
          <w:rtl/>
        </w:rPr>
      </w:pPr>
    </w:p>
    <w:p w14:paraId="6AE0C078" w14:textId="00C60177" w:rsidR="00EB6EE8" w:rsidRPr="00ED1793" w:rsidRDefault="001C2DB7" w:rsidP="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b/>
          <w:bCs/>
          <w:color w:val="31849B" w:themeColor="accent5" w:themeShade="BF"/>
          <w:sz w:val="32"/>
          <w:szCs w:val="32"/>
        </w:rPr>
      </w:pPr>
      <w:r w:rsidRPr="00ED1793">
        <w:rPr>
          <w:rFonts w:ascii="TheSans" w:eastAsia="Times New Roman" w:hAnsi="TheSans" w:cs="TheSans"/>
          <w:b/>
          <w:bCs/>
          <w:color w:val="31849B" w:themeColor="accent5" w:themeShade="BF"/>
          <w:sz w:val="32"/>
          <w:szCs w:val="32"/>
          <w:rtl/>
        </w:rPr>
        <w:t>ملخص التقرير:</w:t>
      </w:r>
    </w:p>
    <w:p w14:paraId="4B44A9D0" w14:textId="77777777" w:rsidR="00EB6EE8" w:rsidRPr="00ED1793" w:rsidRDefault="001C2DB7" w:rsidP="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هذا هو تقريرالربع الثالث من عام 2021(يوليو-سبتمبر2021) الذي تصدره الشبكة العربية لمعلومات حقوق الإنسان لرصد حالة المسار الديمقراطي في مصر والذي تضمن ما يلي:</w:t>
      </w:r>
    </w:p>
    <w:p w14:paraId="243371E5" w14:textId="77777777" w:rsidR="00EB6EE8" w:rsidRPr="00ED1793" w:rsidRDefault="001C2DB7" w:rsidP="00ED1793">
      <w:pPr>
        <w:widowControl w:val="0"/>
        <w:numPr>
          <w:ilvl w:val="0"/>
          <w:numId w:val="2"/>
        </w:numPr>
        <w:pBdr>
          <w:top w:val="nil"/>
          <w:left w:val="nil"/>
          <w:bottom w:val="nil"/>
          <w:right w:val="nil"/>
          <w:between w:val="nil"/>
        </w:pBdr>
        <w:tabs>
          <w:tab w:val="left" w:pos="709"/>
        </w:tabs>
        <w:spacing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استمرار نيابة أمن الدولة فى التحايل على نصوص القانون والتي حددت مدة عامان كحد أقصى للحبس الاحتياطي وذلك بإحالة المحامي الحقوقي والبرلماني السابق والصحفيين حسام مؤنس وهشام فؤاد بعد تجاوزهم الحد الاقصى للحبس الاحتياطي في القضية رقم 930 لسنة 2019 أمن دولة عليا بصورة منسوخة منها إلى محكمة أمن دولة طوارئ مصر القديمة بتهمة نشر أخبار وبيانات كاذبة في وقائع نشرت في عام 2016 والتي تكون أحكامها نهائية ولا يجوز الطعن عليها.</w:t>
      </w:r>
    </w:p>
    <w:p w14:paraId="64A53628" w14:textId="77777777" w:rsidR="00EB6EE8" w:rsidRPr="00ED1793" w:rsidRDefault="001C2DB7" w:rsidP="00ED1793">
      <w:pPr>
        <w:widowControl w:val="0"/>
        <w:numPr>
          <w:ilvl w:val="0"/>
          <w:numId w:val="2"/>
        </w:numPr>
        <w:pBdr>
          <w:top w:val="nil"/>
          <w:left w:val="nil"/>
          <w:bottom w:val="nil"/>
          <w:right w:val="nil"/>
          <w:between w:val="nil"/>
        </w:pBdr>
        <w:tabs>
          <w:tab w:val="left" w:pos="709"/>
        </w:tabs>
        <w:spacing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موافقة مجلس النواب المصري على قرار رئيس الجمهورية بمد حالة الطوارئ في جميع أنحاء الجمهورية لمدة ثلاثة أشهر، كما وافق المجلس على مشروع قانون بتعديل بعض أحكام القانون رقم 10 لسنة 1973 بشأن الفصل بغير الطريق التأديبي، الذي يستهدف فصل الموظفين من الجهاز الإداري للدولة دون توقيع جزاء إداري لمجرد الاشتباه في انتمائهم لجماعات إرهابية أو مساسهم باﻷمن الوطني الجهاز الإداري للدولة ، حيث سبق للمجلس الموافقة على مشروع القانون في مجموعه وإحالته إلى مجلس الدولة.</w:t>
      </w:r>
    </w:p>
    <w:p w14:paraId="311B7FD0" w14:textId="77777777" w:rsidR="00EB6EE8" w:rsidRPr="00ED1793" w:rsidRDefault="001C2DB7" w:rsidP="00ED1793">
      <w:pPr>
        <w:widowControl w:val="0"/>
        <w:numPr>
          <w:ilvl w:val="0"/>
          <w:numId w:val="2"/>
        </w:numPr>
        <w:pBdr>
          <w:top w:val="nil"/>
          <w:left w:val="nil"/>
          <w:bottom w:val="nil"/>
          <w:right w:val="nil"/>
          <w:between w:val="nil"/>
        </w:pBdr>
        <w:tabs>
          <w:tab w:val="left" w:pos="709"/>
        </w:tabs>
        <w:spacing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عودة القضية رقم 173 لسنة 2011 حصر قضاة تحقيق والمعروفة إعلاميا بقضية إغلاق المجتمع المدني للظهور مرة أخرى وذلك باستدعاء عدد من المدافعين عن حقوق الإنسان ومن بينهم المدير التنفيذي للشبكة العربية لمعلومات حقوق الإنسان جمال عيد والمحامي الحقوقي نجاد البرعي ومؤسس المبادرة المصرية للحقوق الشخصية حسام بهجت للتحقيق معهم في المقابل صدور عدد من قرارات الامر بالاوجه لاقامة الدعوى الجنائية وحفظ التحقيقات قبل عدد من المؤسسات الحقوقية في القضية.</w:t>
      </w:r>
    </w:p>
    <w:p w14:paraId="07031BE4" w14:textId="77777777" w:rsidR="00EB6EE8" w:rsidRPr="00ED1793" w:rsidRDefault="001C2DB7" w:rsidP="00ED1793">
      <w:pPr>
        <w:widowControl w:val="0"/>
        <w:numPr>
          <w:ilvl w:val="0"/>
          <w:numId w:val="2"/>
        </w:numPr>
        <w:pBdr>
          <w:top w:val="nil"/>
          <w:left w:val="nil"/>
          <w:bottom w:val="nil"/>
          <w:right w:val="nil"/>
          <w:between w:val="nil"/>
        </w:pBdr>
        <w:tabs>
          <w:tab w:val="left" w:pos="709"/>
        </w:tabs>
        <w:spacing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lastRenderedPageBreak/>
        <w:t>أطلقت اللجنة العليا الدائمة لحقوق الإنسان -المشكلة بقرار رئيس مجلس الوزراء في عام 2018- الاستراتيجية الوطنية لحقوق الإنسان لجمهورية مصر العربية 2021- 2026، واعلان رئيس الجمهورية عام 2022 عاما للمجتمع المدني دون اتخاذ بعض الخطوات الواضحة والصريحة في إنهاء ملف الحبس الاحتياطي الممتد للمحبوسين وتدوير المخلى سبيلهم فى قضايا وإيقاف ملاحقة الكتاب وأصحاب الرأي في محاولة لإظهار الدولة المصرية للعالم الخارجي عن اهتمامها بحقوق الإنسان في صورة مغايرة لارض الواقع.</w:t>
      </w:r>
    </w:p>
    <w:p w14:paraId="1D51BEB1" w14:textId="77777777" w:rsidR="00EB6EE8" w:rsidRPr="00ED1793" w:rsidRDefault="001C2DB7" w:rsidP="00ED1793">
      <w:pPr>
        <w:widowControl w:val="0"/>
        <w:numPr>
          <w:ilvl w:val="0"/>
          <w:numId w:val="2"/>
        </w:numPr>
        <w:pBdr>
          <w:top w:val="nil"/>
          <w:left w:val="nil"/>
          <w:bottom w:val="nil"/>
          <w:right w:val="nil"/>
          <w:between w:val="nil"/>
        </w:pBdr>
        <w:tabs>
          <w:tab w:val="left" w:pos="709"/>
        </w:tabs>
        <w:spacing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ولم تتوقف الاحتجاجات خلال الربع الثالث من العام حيث شهد عدد 47 فعالية احتجاجية للقوى السياسية المختلفة، جاءت الاحتجاجات الاجتماعية والعمالية في المرتبة الأولى بعدد 36 فعالية، بينما استمر تراجع فعاليات انصار جماعة الاخوان المسلمين حيث سجلت 8 فعاليات وكانت جميعها تزامنا مع ذكرى فض اعتصامي رابعة العدوية والنهضة وكانت جميعها في القرى النائية وفي أشكال فردية، فيما نظم الطلاب عدد 3 فعاليات وكانت للاعتراض على نتائج الثانوية العامة، فيما لم تشهد فترة تغطية التقرير أية فعاليات للقوى المدنية أو المؤيدين للنظام الحالي.</w:t>
      </w:r>
    </w:p>
    <w:p w14:paraId="640D3D01" w14:textId="77777777" w:rsidR="00EB6EE8" w:rsidRPr="00ED1793" w:rsidRDefault="001C2DB7" w:rsidP="00ED1793">
      <w:pPr>
        <w:widowControl w:val="0"/>
        <w:numPr>
          <w:ilvl w:val="0"/>
          <w:numId w:val="2"/>
        </w:numPr>
        <w:pBdr>
          <w:top w:val="nil"/>
          <w:left w:val="nil"/>
          <w:bottom w:val="nil"/>
          <w:right w:val="nil"/>
          <w:between w:val="nil"/>
        </w:pBdr>
        <w:tabs>
          <w:tab w:val="left" w:pos="709"/>
        </w:tabs>
        <w:spacing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استمرت المحاكمات العسكرية للمدنيين حيث إنه من بين 46 محاكمة متداولة شهدها الربع الثالث من العام كان هناك  عدد 3 محاكمات عسكرية مثل فيها 449 مواطن مدني</w:t>
      </w:r>
    </w:p>
    <w:p w14:paraId="6AEA2BBF" w14:textId="083B5011" w:rsidR="00EB6EE8" w:rsidRPr="00ED1793" w:rsidRDefault="001C2DB7" w:rsidP="00ED1793">
      <w:pPr>
        <w:widowControl w:val="0"/>
        <w:numPr>
          <w:ilvl w:val="0"/>
          <w:numId w:val="2"/>
        </w:numPr>
        <w:pBdr>
          <w:top w:val="nil"/>
          <w:left w:val="nil"/>
          <w:bottom w:val="nil"/>
          <w:right w:val="nil"/>
          <w:between w:val="nil"/>
        </w:pBdr>
        <w:tabs>
          <w:tab w:val="left" w:pos="709"/>
        </w:tabs>
        <w:spacing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لم تتوقف الانتهاكات التي تتعرض لها الحريات الإعلامية حيث تم رصد  35 انتهاك خلال الربع الثالث وكانت أبرزها التحقيقات وجلسات تجديد الحبس والمحاكمات والتي سجلت 18 انتهاك خلال الفترة التي يغطيها التقرير.</w:t>
      </w:r>
    </w:p>
    <w:p w14:paraId="349D3D2B" w14:textId="77777777" w:rsidR="00EB6EE8" w:rsidRPr="00ED1793" w:rsidRDefault="00EB6EE8" w:rsidP="00ED1793">
      <w:pPr>
        <w:widowControl w:val="0"/>
        <w:pBdr>
          <w:top w:val="nil"/>
          <w:left w:val="nil"/>
          <w:bottom w:val="nil"/>
          <w:right w:val="nil"/>
          <w:between w:val="nil"/>
        </w:pBdr>
        <w:tabs>
          <w:tab w:val="left" w:pos="709"/>
        </w:tabs>
        <w:spacing w:after="120" w:line="240" w:lineRule="auto"/>
        <w:ind w:leftChars="0" w:left="0" w:firstLineChars="0" w:firstLine="0"/>
        <w:jc w:val="both"/>
        <w:rPr>
          <w:rFonts w:ascii="TheSans" w:eastAsia="Times New Roman" w:hAnsi="TheSans" w:cs="TheSans"/>
          <w:color w:val="000000"/>
          <w:sz w:val="28"/>
          <w:szCs w:val="28"/>
        </w:rPr>
      </w:pPr>
    </w:p>
    <w:p w14:paraId="0F405AFD" w14:textId="77777777" w:rsidR="00EB6EE8" w:rsidRPr="00ED1793" w:rsidRDefault="001C2DB7" w:rsidP="00ED1793">
      <w:pPr>
        <w:widowControl w:val="0"/>
        <w:pBdr>
          <w:top w:val="nil"/>
          <w:left w:val="nil"/>
          <w:bottom w:val="nil"/>
          <w:right w:val="nil"/>
          <w:between w:val="nil"/>
        </w:pBdr>
        <w:tabs>
          <w:tab w:val="left" w:pos="709"/>
        </w:tabs>
        <w:spacing w:after="120" w:line="240" w:lineRule="auto"/>
        <w:ind w:left="1" w:hanging="3"/>
        <w:rPr>
          <w:rFonts w:ascii="TheSans" w:eastAsia="Times New Roman" w:hAnsi="TheSans" w:cs="TheSans"/>
          <w:b/>
          <w:bCs/>
          <w:color w:val="595959" w:themeColor="text1" w:themeTint="A6"/>
          <w:sz w:val="28"/>
          <w:szCs w:val="28"/>
          <w:u w:val="single"/>
        </w:rPr>
      </w:pPr>
      <w:r w:rsidRPr="00ED1793">
        <w:rPr>
          <w:rFonts w:ascii="TheSans" w:eastAsia="Times New Roman" w:hAnsi="TheSans" w:cs="TheSans"/>
          <w:b/>
          <w:bCs/>
          <w:color w:val="595959" w:themeColor="text1" w:themeTint="A6"/>
          <w:sz w:val="28"/>
          <w:szCs w:val="28"/>
        </w:rPr>
        <w:tab/>
      </w:r>
      <w:r w:rsidRPr="00ED1793">
        <w:rPr>
          <w:rFonts w:ascii="TheSans" w:eastAsia="Times New Roman" w:hAnsi="TheSans" w:cs="TheSans"/>
          <w:b/>
          <w:bCs/>
          <w:color w:val="595959" w:themeColor="text1" w:themeTint="A6"/>
          <w:sz w:val="28"/>
          <w:szCs w:val="28"/>
          <w:u w:val="single"/>
          <w:rtl/>
        </w:rPr>
        <w:t>وفيما يلي تفاصيل حالة المسار الديمقراطي خلال الربع الثالث من عام 2021، بالأرقام والنسب المئوية والتفاصيل :</w:t>
      </w:r>
    </w:p>
    <w:p w14:paraId="32EF5083" w14:textId="77777777" w:rsidR="00EB6EE8" w:rsidRPr="00ED1793" w:rsidRDefault="00EB6EE8">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u w:val="single"/>
        </w:rPr>
      </w:pPr>
    </w:p>
    <w:p w14:paraId="46967790" w14:textId="77777777"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FF0000"/>
          <w:sz w:val="28"/>
          <w:szCs w:val="28"/>
          <w:u w:val="single"/>
          <w:rtl/>
        </w:rPr>
      </w:pPr>
    </w:p>
    <w:p w14:paraId="6076715A" w14:textId="77777777"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FF0000"/>
          <w:sz w:val="28"/>
          <w:szCs w:val="28"/>
          <w:u w:val="single"/>
          <w:rtl/>
        </w:rPr>
      </w:pPr>
    </w:p>
    <w:p w14:paraId="5CBC6F97" w14:textId="77777777"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FF0000"/>
          <w:sz w:val="28"/>
          <w:szCs w:val="28"/>
          <w:u w:val="single"/>
          <w:rtl/>
        </w:rPr>
      </w:pPr>
    </w:p>
    <w:p w14:paraId="21F078B3" w14:textId="3AE77691" w:rsidR="00EB6EE8" w:rsidRPr="00ED1793" w:rsidRDefault="001C2DB7" w:rsidP="00ED1793">
      <w:pPr>
        <w:widowControl w:val="0"/>
        <w:pBdr>
          <w:top w:val="nil"/>
          <w:left w:val="nil"/>
          <w:bottom w:val="nil"/>
          <w:right w:val="nil"/>
          <w:between w:val="nil"/>
        </w:pBdr>
        <w:tabs>
          <w:tab w:val="left" w:pos="709"/>
        </w:tabs>
        <w:spacing w:after="120" w:line="240" w:lineRule="auto"/>
        <w:ind w:left="3" w:hanging="5"/>
        <w:jc w:val="center"/>
        <w:rPr>
          <w:rFonts w:ascii="TheSans" w:eastAsia="Times New Roman" w:hAnsi="TheSans" w:cs="TheSans"/>
          <w:color w:val="31849B" w:themeColor="accent5" w:themeShade="BF"/>
          <w:sz w:val="52"/>
          <w:szCs w:val="52"/>
        </w:rPr>
      </w:pPr>
      <w:r w:rsidRPr="00ED1793">
        <w:rPr>
          <w:rFonts w:ascii="TheSans" w:eastAsia="Times New Roman" w:hAnsi="TheSans" w:cs="TheSans"/>
          <w:color w:val="31849B" w:themeColor="accent5" w:themeShade="BF"/>
          <w:sz w:val="52"/>
          <w:szCs w:val="52"/>
          <w:rtl/>
        </w:rPr>
        <w:t>أولا: الفعاليات الاحتجاجية</w:t>
      </w:r>
    </w:p>
    <w:p w14:paraId="21532CF7" w14:textId="77777777" w:rsidR="00EB6EE8" w:rsidRPr="00ED1793" w:rsidRDefault="001C2DB7">
      <w:pPr>
        <w:widowControl w:val="0"/>
        <w:pBdr>
          <w:top w:val="nil"/>
          <w:left w:val="nil"/>
          <w:bottom w:val="nil"/>
          <w:right w:val="nil"/>
          <w:between w:val="nil"/>
        </w:pBdr>
        <w:tabs>
          <w:tab w:val="left" w:pos="709"/>
        </w:tabs>
        <w:spacing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نظمت القوى السياسية المختلفة خلال الربع الثالث من العام عدد 47 فعالية وكان توزيعهم كالتالي:</w:t>
      </w:r>
    </w:p>
    <w:p w14:paraId="0EF0D394" w14:textId="77777777" w:rsidR="00EB6EE8" w:rsidRPr="00ED1793" w:rsidRDefault="001C2DB7">
      <w:pPr>
        <w:widowControl w:val="0"/>
        <w:numPr>
          <w:ilvl w:val="0"/>
          <w:numId w:val="3"/>
        </w:numPr>
        <w:pBdr>
          <w:top w:val="nil"/>
          <w:left w:val="nil"/>
          <w:bottom w:val="nil"/>
          <w:right w:val="nil"/>
          <w:between w:val="nil"/>
        </w:pBdr>
        <w:tabs>
          <w:tab w:val="left" w:pos="709"/>
        </w:tabs>
        <w:spacing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الاحتجاجات الاجتماعية والعمالية: 36 فعالية</w:t>
      </w:r>
    </w:p>
    <w:p w14:paraId="47F1920F" w14:textId="77777777" w:rsidR="00EB6EE8" w:rsidRPr="00ED1793" w:rsidRDefault="001C2DB7">
      <w:pPr>
        <w:widowControl w:val="0"/>
        <w:numPr>
          <w:ilvl w:val="0"/>
          <w:numId w:val="3"/>
        </w:numPr>
        <w:pBdr>
          <w:top w:val="nil"/>
          <w:left w:val="nil"/>
          <w:bottom w:val="nil"/>
          <w:right w:val="nil"/>
          <w:between w:val="nil"/>
        </w:pBdr>
        <w:tabs>
          <w:tab w:val="left" w:pos="709"/>
        </w:tabs>
        <w:spacing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الإخوان المسلمين وأنصارهم: 8 فعاليات</w:t>
      </w:r>
    </w:p>
    <w:p w14:paraId="197D1342" w14:textId="77777777" w:rsidR="00EB6EE8" w:rsidRPr="00ED1793" w:rsidRDefault="001C2DB7">
      <w:pPr>
        <w:widowControl w:val="0"/>
        <w:numPr>
          <w:ilvl w:val="0"/>
          <w:numId w:val="3"/>
        </w:numPr>
        <w:pBdr>
          <w:top w:val="nil"/>
          <w:left w:val="nil"/>
          <w:bottom w:val="nil"/>
          <w:right w:val="nil"/>
          <w:between w:val="nil"/>
        </w:pBdr>
        <w:tabs>
          <w:tab w:val="left" w:pos="709"/>
        </w:tabs>
        <w:spacing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الفعاليات الطلابية : 3</w:t>
      </w:r>
      <w:r w:rsidRPr="00ED1793">
        <w:rPr>
          <w:rFonts w:ascii="TheSans" w:eastAsia="Times New Roman" w:hAnsi="TheSans" w:cs="TheSans"/>
          <w:color w:val="00000A"/>
          <w:sz w:val="28"/>
          <w:szCs w:val="28"/>
          <w:rtl/>
        </w:rPr>
        <w:t xml:space="preserve"> فعالية</w:t>
      </w:r>
    </w:p>
    <w:p w14:paraId="229436F3" w14:textId="655792DD" w:rsidR="00EB6EE8" w:rsidRP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Pr>
      </w:pPr>
      <w:r>
        <w:rPr>
          <w:rFonts w:ascii="TheSans" w:eastAsia="Times New Roman" w:hAnsi="TheSans" w:cs="TheSans"/>
          <w:noProof/>
          <w:color w:val="000000"/>
          <w:sz w:val="28"/>
          <w:szCs w:val="28"/>
          <w:rtl/>
          <w:lang w:val="ar-SA"/>
        </w:rPr>
        <w:drawing>
          <wp:inline distT="0" distB="0" distL="0" distR="0" wp14:anchorId="6BAA02CC" wp14:editId="6AEBC6FA">
            <wp:extent cx="5943600" cy="3817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17620"/>
                    </a:xfrm>
                    <a:prstGeom prst="rect">
                      <a:avLst/>
                    </a:prstGeom>
                  </pic:spPr>
                </pic:pic>
              </a:graphicData>
            </a:graphic>
          </wp:inline>
        </w:drawing>
      </w:r>
      <w:r w:rsidR="001C2DB7" w:rsidRPr="00ED1793">
        <w:rPr>
          <w:rFonts w:ascii="TheSans" w:eastAsia="Times New Roman" w:hAnsi="TheSans" w:cs="TheSans"/>
          <w:color w:val="000000"/>
          <w:sz w:val="28"/>
          <w:szCs w:val="28"/>
          <w:rtl/>
        </w:rPr>
        <w:t xml:space="preserve"> وكان شهر أغسطس هو أكثر الشهور التي شهدت فعاليات احتجاجية حيث شهد 21 فعالية مختلفة وهو ما يتضح في الجدول التالي : </w:t>
      </w:r>
    </w:p>
    <w:tbl>
      <w:tblPr>
        <w:tblStyle w:val="12"/>
        <w:bidiVisual/>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40"/>
        <w:gridCol w:w="2340"/>
        <w:gridCol w:w="2340"/>
        <w:gridCol w:w="2340"/>
      </w:tblGrid>
      <w:tr w:rsidR="00EB6EE8" w:rsidRPr="00ED1793" w14:paraId="4BB81F57" w14:textId="77777777">
        <w:trPr>
          <w:jc w:val="right"/>
        </w:trPr>
        <w:tc>
          <w:tcPr>
            <w:tcW w:w="2340" w:type="dxa"/>
            <w:tcMar>
              <w:top w:w="100" w:type="dxa"/>
              <w:left w:w="100" w:type="dxa"/>
              <w:bottom w:w="100" w:type="dxa"/>
              <w:right w:w="100" w:type="dxa"/>
            </w:tcMar>
          </w:tcPr>
          <w:p w14:paraId="2B0CDA07"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يوليو</w:t>
            </w:r>
          </w:p>
        </w:tc>
        <w:tc>
          <w:tcPr>
            <w:tcW w:w="2340" w:type="dxa"/>
          </w:tcPr>
          <w:p w14:paraId="2714F88A"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أغسطس</w:t>
            </w:r>
          </w:p>
        </w:tc>
        <w:tc>
          <w:tcPr>
            <w:tcW w:w="2340" w:type="dxa"/>
          </w:tcPr>
          <w:p w14:paraId="6A8F903C"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سبتمبر</w:t>
            </w:r>
          </w:p>
        </w:tc>
        <w:tc>
          <w:tcPr>
            <w:tcW w:w="2340" w:type="dxa"/>
          </w:tcPr>
          <w:p w14:paraId="209D404A"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الإجمالي</w:t>
            </w:r>
          </w:p>
        </w:tc>
      </w:tr>
      <w:tr w:rsidR="00EB6EE8" w:rsidRPr="00ED1793" w14:paraId="2300B3DF" w14:textId="77777777">
        <w:trPr>
          <w:jc w:val="right"/>
        </w:trPr>
        <w:tc>
          <w:tcPr>
            <w:tcW w:w="2340" w:type="dxa"/>
            <w:tcMar>
              <w:top w:w="100" w:type="dxa"/>
              <w:left w:w="100" w:type="dxa"/>
              <w:bottom w:w="100" w:type="dxa"/>
              <w:right w:w="100" w:type="dxa"/>
            </w:tcMar>
          </w:tcPr>
          <w:p w14:paraId="719718E1"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lastRenderedPageBreak/>
              <w:t>12</w:t>
            </w:r>
          </w:p>
        </w:tc>
        <w:tc>
          <w:tcPr>
            <w:tcW w:w="2340" w:type="dxa"/>
          </w:tcPr>
          <w:p w14:paraId="4CA26C7E"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21</w:t>
            </w:r>
          </w:p>
        </w:tc>
        <w:tc>
          <w:tcPr>
            <w:tcW w:w="2340" w:type="dxa"/>
          </w:tcPr>
          <w:p w14:paraId="0E290840"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14</w:t>
            </w:r>
          </w:p>
        </w:tc>
        <w:tc>
          <w:tcPr>
            <w:tcW w:w="2340" w:type="dxa"/>
          </w:tcPr>
          <w:p w14:paraId="572E36FF"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47</w:t>
            </w:r>
          </w:p>
        </w:tc>
      </w:tr>
    </w:tbl>
    <w:p w14:paraId="6D0146AE" w14:textId="77777777" w:rsidR="00EB6EE8" w:rsidRPr="00ED1793" w:rsidRDefault="00EB6EE8">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Pr>
      </w:pPr>
    </w:p>
    <w:p w14:paraId="650164CA"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u w:val="single"/>
        </w:rPr>
      </w:pPr>
      <w:r w:rsidRPr="00ED1793">
        <w:rPr>
          <w:rFonts w:ascii="TheSans" w:eastAsia="Times New Roman" w:hAnsi="TheSans" w:cs="TheSans"/>
          <w:color w:val="000000"/>
          <w:sz w:val="28"/>
          <w:szCs w:val="28"/>
          <w:rtl/>
        </w:rPr>
        <w:t>وقد تعرضت 5 فعاليات مختلفة للاعتداء من قبل الأجهزة الأمنية، فيما مرت  37 فعالية دون اعتداء من قبل الأجهزة الأمنية، فضلاً عن حل 5 فعاليات  بالتفاوض مع المشاركين.</w:t>
      </w:r>
    </w:p>
    <w:p w14:paraId="45E36088" w14:textId="37B59060" w:rsidR="00EB6EE8" w:rsidRP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E36C0A" w:themeColor="accent6" w:themeShade="BF"/>
          <w:sz w:val="28"/>
          <w:szCs w:val="28"/>
        </w:rPr>
      </w:pPr>
      <w:r w:rsidRPr="00ED1793">
        <w:rPr>
          <w:rFonts w:ascii="TheSans" w:eastAsia="Times New Roman" w:hAnsi="TheSans" w:cs="TheSans"/>
          <w:noProof/>
          <w:color w:val="E36C0A" w:themeColor="accent6" w:themeShade="BF"/>
          <w:sz w:val="28"/>
          <w:szCs w:val="28"/>
          <w:rtl/>
          <w:lang w:val="ar-SA"/>
        </w:rPr>
        <w:drawing>
          <wp:inline distT="0" distB="0" distL="0" distR="0" wp14:anchorId="4B7078A2" wp14:editId="29D35A36">
            <wp:extent cx="5943600" cy="381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17620"/>
                    </a:xfrm>
                    <a:prstGeom prst="rect">
                      <a:avLst/>
                    </a:prstGeom>
                  </pic:spPr>
                </pic:pic>
              </a:graphicData>
            </a:graphic>
          </wp:inline>
        </w:drawing>
      </w:r>
      <w:r w:rsidR="001C2DB7" w:rsidRPr="00ED1793">
        <w:rPr>
          <w:rFonts w:ascii="TheSans" w:eastAsia="Times New Roman" w:hAnsi="TheSans" w:cs="TheSans"/>
          <w:color w:val="E36C0A" w:themeColor="accent6" w:themeShade="BF"/>
          <w:sz w:val="28"/>
          <w:szCs w:val="28"/>
          <w:rtl/>
        </w:rPr>
        <w:t>الاحتجاجات العمالية والاجتماعية :</w:t>
      </w:r>
    </w:p>
    <w:p w14:paraId="3EFB1FAB"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شهد الربع الثالث من العام تنظيم عدد 36 فعالية احتجاجية للحركات العمالية والاجتماعية، تعرضت 3 فعاليات منهم من قبل القوات الامنية، فيما مرت 28 فعالية دون تدخل من الأجهزة الامنية، فيما تم انهاء 5 فعاليات بعد التفاوض مع منظميها والمشاركين فيها.</w:t>
      </w:r>
    </w:p>
    <w:p w14:paraId="42FAA9EE"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u w:val="single"/>
        </w:rPr>
      </w:pPr>
      <w:r w:rsidRPr="00ED1793">
        <w:rPr>
          <w:rFonts w:ascii="TheSans" w:eastAsia="Times New Roman" w:hAnsi="TheSans" w:cs="TheSans"/>
          <w:color w:val="000000"/>
          <w:sz w:val="28"/>
          <w:szCs w:val="28"/>
          <w:u w:val="single"/>
          <w:rtl/>
        </w:rPr>
        <w:t xml:space="preserve">وكانت أهم المطالب التي رفعتها الاحتجاجات الاجتماعية والعمالية : </w:t>
      </w:r>
    </w:p>
    <w:p w14:paraId="2555DBE4" w14:textId="77777777" w:rsidR="00EB6EE8" w:rsidRPr="00ED1793" w:rsidRDefault="001C2DB7">
      <w:pPr>
        <w:widowControl w:val="0"/>
        <w:pBdr>
          <w:top w:val="nil"/>
          <w:left w:val="nil"/>
          <w:bottom w:val="nil"/>
          <w:right w:val="nil"/>
          <w:between w:val="nil"/>
        </w:pBdr>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A"/>
          <w:sz w:val="28"/>
          <w:szCs w:val="28"/>
          <w:rtl/>
        </w:rPr>
        <w:t>- المطالبة بتحسين الأجور و المطالبة بضم اسر العاملين الى المنظومة الصحية.</w:t>
      </w:r>
    </w:p>
    <w:p w14:paraId="69E177CB" w14:textId="77777777" w:rsidR="00EB6EE8" w:rsidRPr="00ED1793" w:rsidRDefault="001C2DB7">
      <w:pPr>
        <w:widowControl w:val="0"/>
        <w:pBdr>
          <w:top w:val="nil"/>
          <w:left w:val="nil"/>
          <w:bottom w:val="nil"/>
          <w:right w:val="nil"/>
          <w:between w:val="nil"/>
        </w:pBdr>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A"/>
          <w:sz w:val="28"/>
          <w:szCs w:val="28"/>
          <w:rtl/>
        </w:rPr>
        <w:lastRenderedPageBreak/>
        <w:t>- اعتصام عدد من المحامين في كفر الدوار اعتراضا على سوء معاملة وكيل نيابة لهم وتجاوزه المستمر معهم والمطالبة بمحاسبته</w:t>
      </w:r>
    </w:p>
    <w:p w14:paraId="09BD88E8" w14:textId="77777777" w:rsidR="00EB6EE8" w:rsidRPr="00ED1793" w:rsidRDefault="001C2DB7">
      <w:pPr>
        <w:widowControl w:val="0"/>
        <w:pBdr>
          <w:top w:val="nil"/>
          <w:left w:val="nil"/>
          <w:bottom w:val="nil"/>
          <w:right w:val="nil"/>
          <w:between w:val="nil"/>
        </w:pBdr>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A"/>
          <w:sz w:val="28"/>
          <w:szCs w:val="28"/>
          <w:rtl/>
        </w:rPr>
        <w:t>- اعتراضا أهالي المكس في الإسكندرية وعزبة خير الله في القاهرة وبولاق الدكرور في الجيزة .</w:t>
      </w:r>
    </w:p>
    <w:p w14:paraId="4739DDCF" w14:textId="77777777" w:rsidR="00EB6EE8" w:rsidRPr="00ED1793" w:rsidRDefault="001C2DB7">
      <w:pPr>
        <w:widowControl w:val="0"/>
        <w:pBdr>
          <w:top w:val="nil"/>
          <w:left w:val="nil"/>
          <w:bottom w:val="nil"/>
          <w:right w:val="nil"/>
          <w:between w:val="nil"/>
        </w:pBdr>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A"/>
          <w:sz w:val="28"/>
          <w:szCs w:val="28"/>
          <w:rtl/>
        </w:rPr>
        <w:t>- إضراب عمال مصنع يونيفرسال عن العمل للمطالبة بتحسين أجورهم والحصول على الأرباح وإطلاق سراح زملائهم المقبوض عليهم.</w:t>
      </w:r>
    </w:p>
    <w:p w14:paraId="11FF2A84" w14:textId="77777777" w:rsidR="00EB6EE8" w:rsidRPr="00ED1793" w:rsidRDefault="001C2DB7">
      <w:pPr>
        <w:widowControl w:val="0"/>
        <w:pBdr>
          <w:top w:val="nil"/>
          <w:left w:val="nil"/>
          <w:bottom w:val="nil"/>
          <w:right w:val="nil"/>
          <w:between w:val="nil"/>
        </w:pBdr>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A"/>
          <w:sz w:val="28"/>
          <w:szCs w:val="28"/>
          <w:rtl/>
        </w:rPr>
        <w:t>- انعدام الخدمات الصحية في مدينة منفلوط بمحافظة أسيوط.</w:t>
      </w:r>
    </w:p>
    <w:p w14:paraId="6F992500" w14:textId="6B21BD76" w:rsidR="00EB6EE8" w:rsidRP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E36C0A" w:themeColor="accent6" w:themeShade="BF"/>
          <w:sz w:val="28"/>
          <w:szCs w:val="28"/>
        </w:rPr>
      </w:pPr>
      <w:r w:rsidRPr="00ED1793">
        <w:rPr>
          <w:rFonts w:ascii="TheSans" w:eastAsia="Times New Roman" w:hAnsi="TheSans" w:cs="TheSans"/>
          <w:noProof/>
          <w:color w:val="E36C0A" w:themeColor="accent6" w:themeShade="BF"/>
          <w:sz w:val="28"/>
          <w:szCs w:val="28"/>
          <w:rtl/>
          <w:lang w:val="ar-SA"/>
        </w:rPr>
        <w:drawing>
          <wp:inline distT="0" distB="0" distL="0" distR="0" wp14:anchorId="086E4FC2" wp14:editId="435C116F">
            <wp:extent cx="5943600" cy="381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17620"/>
                    </a:xfrm>
                    <a:prstGeom prst="rect">
                      <a:avLst/>
                    </a:prstGeom>
                  </pic:spPr>
                </pic:pic>
              </a:graphicData>
            </a:graphic>
          </wp:inline>
        </w:drawing>
      </w:r>
      <w:r w:rsidR="001C2DB7" w:rsidRPr="00ED1793">
        <w:rPr>
          <w:rFonts w:ascii="TheSans" w:eastAsia="Times New Roman" w:hAnsi="TheSans" w:cs="TheSans"/>
          <w:color w:val="E36C0A" w:themeColor="accent6" w:themeShade="BF"/>
          <w:sz w:val="28"/>
          <w:szCs w:val="28"/>
          <w:rtl/>
        </w:rPr>
        <w:t>فعاليات جماعة الإخوان وأنصارهم:</w:t>
      </w:r>
    </w:p>
    <w:p w14:paraId="612D709A" w14:textId="77777777" w:rsidR="00EB6EE8" w:rsidRPr="00ED1793" w:rsidRDefault="001C2DB7">
      <w:pPr>
        <w:widowControl w:val="0"/>
        <w:pBdr>
          <w:top w:val="nil"/>
          <w:left w:val="nil"/>
          <w:bottom w:val="nil"/>
          <w:right w:val="nil"/>
          <w:between w:val="nil"/>
        </w:pBdr>
        <w:tabs>
          <w:tab w:val="left" w:pos="0"/>
        </w:tabs>
        <w:spacing w:after="120"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شهد الربع الثالث من العام تنظيم أنصار جماعة الإخوان المسلمين عدد 8 فعاليات جاءت جميعها في القرى النائية وبالتزامن مع ذكرى فض اعتصامي رابعة العدوية والنهضة مرت 6 فعاليات منهم دون تدخل من قبل قوات الأمن، فيما قامت قوات الأمن من إنهاء عدد فعاليتين.</w:t>
      </w:r>
    </w:p>
    <w:p w14:paraId="2745AAAD"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u w:val="single"/>
        </w:rPr>
      </w:pPr>
      <w:r w:rsidRPr="00ED1793">
        <w:rPr>
          <w:rFonts w:ascii="TheSans" w:eastAsia="Times New Roman" w:hAnsi="TheSans" w:cs="TheSans"/>
          <w:color w:val="000000"/>
          <w:sz w:val="28"/>
          <w:szCs w:val="28"/>
          <w:u w:val="single"/>
          <w:rtl/>
        </w:rPr>
        <w:lastRenderedPageBreak/>
        <w:t xml:space="preserve">وكانت أهم المطالب التي رفعتها فعاليات الإخوان وتحالف دعم الشرعية: </w:t>
      </w:r>
    </w:p>
    <w:p w14:paraId="36B16373"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  إحياء ذكرى فض اعتصامي رابعة العدوية والنهضة</w:t>
      </w:r>
    </w:p>
    <w:p w14:paraId="41CE9A7C" w14:textId="24002DB4" w:rsidR="00EB6EE8" w:rsidRP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E36C0A" w:themeColor="accent6" w:themeShade="BF"/>
          <w:sz w:val="28"/>
          <w:szCs w:val="28"/>
        </w:rPr>
      </w:pPr>
      <w:r w:rsidRPr="00ED1793">
        <w:rPr>
          <w:rFonts w:ascii="TheSans" w:eastAsia="Times New Roman" w:hAnsi="TheSans" w:cs="TheSans"/>
          <w:noProof/>
          <w:color w:val="E36C0A" w:themeColor="accent6" w:themeShade="BF"/>
          <w:sz w:val="28"/>
          <w:szCs w:val="28"/>
          <w:rtl/>
          <w:lang w:val="ar-SA"/>
        </w:rPr>
        <w:drawing>
          <wp:inline distT="0" distB="0" distL="0" distR="0" wp14:anchorId="35E61527" wp14:editId="70670A36">
            <wp:extent cx="5943600" cy="3817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17620"/>
                    </a:xfrm>
                    <a:prstGeom prst="rect">
                      <a:avLst/>
                    </a:prstGeom>
                  </pic:spPr>
                </pic:pic>
              </a:graphicData>
            </a:graphic>
          </wp:inline>
        </w:drawing>
      </w:r>
      <w:r w:rsidR="001C2DB7" w:rsidRPr="00ED1793">
        <w:rPr>
          <w:rFonts w:ascii="TheSans" w:eastAsia="Times New Roman" w:hAnsi="TheSans" w:cs="TheSans"/>
          <w:color w:val="E36C0A" w:themeColor="accent6" w:themeShade="BF"/>
          <w:sz w:val="28"/>
          <w:szCs w:val="28"/>
          <w:rtl/>
        </w:rPr>
        <w:t>فعاليات الطلاب :</w:t>
      </w:r>
    </w:p>
    <w:p w14:paraId="2E095EB7"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0"/>
          <w:sz w:val="28"/>
          <w:szCs w:val="28"/>
          <w:rtl/>
        </w:rPr>
        <w:t>شهد الربع الثالث من العام تنظيم الطلاب لعدد 3 فعاليات مرت جميعها دون تعرض لاية اعتداءات.</w:t>
      </w:r>
    </w:p>
    <w:p w14:paraId="388359E3"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u w:val="single"/>
        </w:rPr>
      </w:pPr>
      <w:r w:rsidRPr="00ED1793">
        <w:rPr>
          <w:rFonts w:ascii="TheSans" w:eastAsia="Times New Roman" w:hAnsi="TheSans" w:cs="TheSans"/>
          <w:color w:val="000000"/>
          <w:sz w:val="28"/>
          <w:szCs w:val="28"/>
        </w:rPr>
        <w:t xml:space="preserve"> </w:t>
      </w:r>
      <w:r w:rsidRPr="00ED1793">
        <w:rPr>
          <w:rFonts w:ascii="TheSans" w:eastAsia="Times New Roman" w:hAnsi="TheSans" w:cs="TheSans"/>
          <w:color w:val="000000"/>
          <w:sz w:val="28"/>
          <w:szCs w:val="28"/>
          <w:u w:val="single"/>
          <w:rtl/>
        </w:rPr>
        <w:t xml:space="preserve">وفيما يلي أهم مطالب الفعاليات الطلابية : </w:t>
      </w:r>
    </w:p>
    <w:p w14:paraId="221C3747" w14:textId="45091AB4" w:rsidR="00EB6EE8"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r w:rsidRPr="00ED1793">
        <w:rPr>
          <w:rFonts w:ascii="TheSans" w:eastAsia="Times New Roman" w:hAnsi="TheSans" w:cs="TheSans"/>
          <w:color w:val="000000"/>
          <w:sz w:val="28"/>
          <w:szCs w:val="28"/>
          <w:rtl/>
        </w:rPr>
        <w:t>- اعتراض عدد من طلاب الثانوية العامة على نتائج امتحانات نهاية العام الدراسي وعدم وجود نموذج الاجابات.</w:t>
      </w:r>
    </w:p>
    <w:p w14:paraId="0952544B" w14:textId="3678801D"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47D79B39" w14:textId="356AA682"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5782AA08" w14:textId="4AC1E8D2"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0C0D9A0F" w14:textId="00DBD5CB"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0CA583E6" w14:textId="77777777" w:rsidR="00ED1793" w:rsidRP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Pr>
      </w:pPr>
    </w:p>
    <w:p w14:paraId="2F816228" w14:textId="77777777" w:rsidR="00EB6EE8" w:rsidRPr="00ED1793" w:rsidRDefault="001C2DB7" w:rsidP="00ED1793">
      <w:pPr>
        <w:widowControl w:val="0"/>
        <w:pBdr>
          <w:top w:val="nil"/>
          <w:left w:val="nil"/>
          <w:bottom w:val="nil"/>
          <w:right w:val="nil"/>
          <w:between w:val="nil"/>
        </w:pBdr>
        <w:tabs>
          <w:tab w:val="left" w:pos="709"/>
        </w:tabs>
        <w:spacing w:after="120" w:line="240" w:lineRule="auto"/>
        <w:ind w:left="3" w:hanging="5"/>
        <w:jc w:val="center"/>
        <w:rPr>
          <w:rFonts w:ascii="TheSans" w:eastAsia="Times New Roman" w:hAnsi="TheSans" w:cs="TheSans"/>
          <w:color w:val="31849B" w:themeColor="accent5" w:themeShade="BF"/>
          <w:sz w:val="52"/>
          <w:szCs w:val="52"/>
        </w:rPr>
      </w:pPr>
      <w:r w:rsidRPr="00ED1793">
        <w:rPr>
          <w:rFonts w:ascii="TheSans" w:eastAsia="Times New Roman" w:hAnsi="TheSans" w:cs="TheSans"/>
          <w:color w:val="31849B" w:themeColor="accent5" w:themeShade="BF"/>
          <w:sz w:val="52"/>
          <w:szCs w:val="52"/>
          <w:rtl/>
        </w:rPr>
        <w:t>ثانيا: المحاكمات</w:t>
      </w:r>
    </w:p>
    <w:p w14:paraId="119F5753"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شهد الربع الثالث من العام نظر القضاء المصري عدد 46 محاكمة متداولة من بينهم 3 محاكمات متداولة أمام القضاء العسكري، بينما أصدر القضاء المصري 25 حكما بالإدانة، 10 أحكام بالبراءة و 42 حكما بالإعدام من بينهم 32 حكما في قضايا جنائية ضد 69 متهم و10 أحكام في قضايا سياسية ضد  124 متهم.</w:t>
      </w:r>
    </w:p>
    <w:p w14:paraId="28E5C6DF"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Pr>
        <w:t xml:space="preserve"> -1 </w:t>
      </w:r>
      <w:r w:rsidRPr="00ED1793">
        <w:rPr>
          <w:rFonts w:ascii="TheSans" w:eastAsia="Times New Roman" w:hAnsi="TheSans" w:cs="TheSans"/>
          <w:color w:val="000000"/>
          <w:sz w:val="28"/>
          <w:szCs w:val="28"/>
          <w:u w:val="single"/>
          <w:rtl/>
        </w:rPr>
        <w:t>المحاكمات المتداولة:</w:t>
      </w:r>
    </w:p>
    <w:p w14:paraId="120B29F0"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0"/>
          <w:sz w:val="28"/>
          <w:szCs w:val="28"/>
          <w:rtl/>
        </w:rPr>
        <w:t>وكان توزيع الـ 46 محاكمة المتداولة امام القضاء كما يلي:</w:t>
      </w:r>
    </w:p>
    <w:p w14:paraId="51549642"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0"/>
          <w:sz w:val="28"/>
          <w:szCs w:val="28"/>
          <w:rtl/>
        </w:rPr>
        <w:t>- 35 محاكمة لجماعة الإخوان وأنصارهم .</w:t>
      </w:r>
    </w:p>
    <w:p w14:paraId="3515330D" w14:textId="6CD38C30"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0"/>
          <w:sz w:val="28"/>
          <w:szCs w:val="28"/>
          <w:rtl/>
        </w:rPr>
        <w:t>- 6 محاكمة للقوى المدنية الديمقراطية.</w:t>
      </w:r>
    </w:p>
    <w:p w14:paraId="095441BB" w14:textId="5B80DFAC"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0"/>
          <w:sz w:val="28"/>
          <w:szCs w:val="28"/>
          <w:rtl/>
        </w:rPr>
        <w:t xml:space="preserve">- محاكمتين لرموز نظام مبارك </w:t>
      </w:r>
    </w:p>
    <w:p w14:paraId="006A6BC5" w14:textId="78AA965E" w:rsidR="00EB6EE8"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r w:rsidRPr="00ED1793">
        <w:rPr>
          <w:rFonts w:ascii="TheSans" w:eastAsia="Times New Roman" w:hAnsi="TheSans" w:cs="TheSans"/>
          <w:color w:val="000000"/>
          <w:sz w:val="28"/>
          <w:szCs w:val="28"/>
          <w:rtl/>
        </w:rPr>
        <w:t>- بينما نظر القضاء العسكري 3 محاكمات مثل فيها 449 مواطن مدني</w:t>
      </w:r>
    </w:p>
    <w:p w14:paraId="6959B389" w14:textId="43577FBF" w:rsidR="00ED1793" w:rsidRDefault="000F4F1D">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r w:rsidRPr="00ED1793">
        <w:rPr>
          <w:rFonts w:ascii="TheSans" w:eastAsia="Times New Roman" w:hAnsi="TheSans" w:cs="TheSans"/>
          <w:noProof/>
          <w:color w:val="000000"/>
          <w:sz w:val="28"/>
          <w:szCs w:val="28"/>
          <w:rtl/>
          <w:lang w:val="ar-SA"/>
        </w:rPr>
        <w:drawing>
          <wp:anchor distT="0" distB="0" distL="114300" distR="114300" simplePos="0" relativeHeight="251659264" behindDoc="1" locked="0" layoutInCell="1" allowOverlap="1" wp14:anchorId="49AA1E3A" wp14:editId="0ECC95EF">
            <wp:simplePos x="0" y="0"/>
            <wp:positionH relativeFrom="margin">
              <wp:align>left</wp:align>
            </wp:positionH>
            <wp:positionV relativeFrom="paragraph">
              <wp:posOffset>12065</wp:posOffset>
            </wp:positionV>
            <wp:extent cx="5412740" cy="45612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2740" cy="4561205"/>
                    </a:xfrm>
                    <a:prstGeom prst="rect">
                      <a:avLst/>
                    </a:prstGeom>
                  </pic:spPr>
                </pic:pic>
              </a:graphicData>
            </a:graphic>
            <wp14:sizeRelH relativeFrom="margin">
              <wp14:pctWidth>0</wp14:pctWidth>
            </wp14:sizeRelH>
            <wp14:sizeRelV relativeFrom="margin">
              <wp14:pctHeight>0</wp14:pctHeight>
            </wp14:sizeRelV>
          </wp:anchor>
        </w:drawing>
      </w:r>
    </w:p>
    <w:p w14:paraId="2991F60F" w14:textId="5F996A19"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1B883A52" w14:textId="54320B38"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1EE53C5C" w14:textId="5B49672B"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2A07BCFB" w14:textId="05E9B34B"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718FEA02" w14:textId="39113D8C"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6572F036" w14:textId="057624FB"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2075711A" w14:textId="5480A399"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6611046A" w14:textId="35E33C90" w:rsid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699722EC" w14:textId="77777777" w:rsidR="00ED1793" w:rsidRPr="00ED1793" w:rsidRDefault="00ED1793">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Pr>
      </w:pPr>
    </w:p>
    <w:p w14:paraId="6AB58D6C" w14:textId="4EBEE248" w:rsidR="00EB6EE8" w:rsidRPr="000F4F1D"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b/>
          <w:bCs/>
          <w:color w:val="000000"/>
          <w:sz w:val="28"/>
          <w:szCs w:val="28"/>
        </w:rPr>
      </w:pPr>
      <w:r w:rsidRPr="000F4F1D">
        <w:rPr>
          <w:rFonts w:ascii="TheSans" w:eastAsia="Times New Roman" w:hAnsi="TheSans" w:cs="TheSans"/>
          <w:b/>
          <w:bCs/>
          <w:color w:val="000000"/>
          <w:sz w:val="28"/>
          <w:szCs w:val="28"/>
          <w:rtl/>
        </w:rPr>
        <w:t>وكانت أبرز محاكمات جماعة الإخوان المسلمين وأنصارهم:</w:t>
      </w:r>
    </w:p>
    <w:p w14:paraId="51FF5315" w14:textId="3E765E01"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0"/>
          <w:sz w:val="28"/>
          <w:szCs w:val="28"/>
          <w:rtl/>
        </w:rPr>
        <w:t xml:space="preserve">القضايا المعروفة إعلاميا بـ (خلية المطرية الإرهابية، خلية هشام عشماوي، خلية المرابطين، العائدون من الكويت، محاكمة عائشة الشاطر، كتائب حلوان، اقتحام السجون المصرية، داعش الزاوية الحمراء، التخابر مع حماس، التخابر مع تنظيم داعش، خلية داعش العجوزة، خلية جند الله، خلية مفرقعات المطرية، خلية الوايلي الارهابية، أحداث المنصة ) </w:t>
      </w:r>
    </w:p>
    <w:p w14:paraId="4B232738"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u w:val="single"/>
        </w:rPr>
      </w:pPr>
      <w:r w:rsidRPr="00ED1793">
        <w:rPr>
          <w:rFonts w:ascii="TheSans" w:eastAsia="Times New Roman" w:hAnsi="TheSans" w:cs="TheSans"/>
          <w:color w:val="000000"/>
          <w:sz w:val="28"/>
          <w:szCs w:val="28"/>
          <w:u w:val="single"/>
          <w:rtl/>
        </w:rPr>
        <w:t xml:space="preserve">أما أبرز محاكمات رموز نظام مبارك </w:t>
      </w:r>
    </w:p>
    <w:p w14:paraId="1EA459FA"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0"/>
          <w:sz w:val="28"/>
          <w:szCs w:val="28"/>
          <w:rtl/>
        </w:rPr>
        <w:t>القضايا المعروفة إعلامياً بـ (فساد الجمارك، الحزام الأخضر)</w:t>
      </w:r>
    </w:p>
    <w:p w14:paraId="221C7C00" w14:textId="77777777" w:rsidR="00EB6EE8" w:rsidRPr="000F4F1D"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b/>
          <w:bCs/>
          <w:color w:val="000000"/>
          <w:sz w:val="28"/>
          <w:szCs w:val="28"/>
        </w:rPr>
      </w:pPr>
      <w:r w:rsidRPr="000F4F1D">
        <w:rPr>
          <w:rFonts w:ascii="TheSans" w:eastAsia="Times New Roman" w:hAnsi="TheSans" w:cs="TheSans"/>
          <w:b/>
          <w:bCs/>
          <w:color w:val="000000"/>
          <w:sz w:val="28"/>
          <w:szCs w:val="28"/>
          <w:rtl/>
        </w:rPr>
        <w:t>أما أبرز محاكمات القوى المدنية الديمقراطية :</w:t>
      </w:r>
    </w:p>
    <w:p w14:paraId="39CDDDF9"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0"/>
          <w:sz w:val="28"/>
          <w:szCs w:val="28"/>
          <w:rtl/>
        </w:rPr>
        <w:t>القضايا المعروفة إعلامياً بـ  (أحداث مجلس الوزراء، محاكمة زياد العليمي والصحفيين هشام فؤاد وحسام مؤنس، محاكمة باتريك جورج، محاكمة حسام بهجت، تظلم اسراء عبد الفتاح على منعها من السفر)</w:t>
      </w:r>
    </w:p>
    <w:p w14:paraId="29C9685C" w14:textId="77777777" w:rsidR="00EB6EE8" w:rsidRPr="000F4F1D"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b/>
          <w:bCs/>
          <w:color w:val="000000"/>
          <w:sz w:val="28"/>
          <w:szCs w:val="28"/>
        </w:rPr>
      </w:pPr>
      <w:r w:rsidRPr="000F4F1D">
        <w:rPr>
          <w:rFonts w:ascii="TheSans" w:eastAsia="Times New Roman" w:hAnsi="TheSans" w:cs="TheSans"/>
          <w:b/>
          <w:bCs/>
          <w:color w:val="000000"/>
          <w:sz w:val="28"/>
          <w:szCs w:val="28"/>
          <w:rtl/>
        </w:rPr>
        <w:t>المحاكمات العسكرية للمدنيين :</w:t>
      </w:r>
    </w:p>
    <w:p w14:paraId="2EB54F2A"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0"/>
          <w:sz w:val="28"/>
          <w:szCs w:val="28"/>
          <w:rtl/>
        </w:rPr>
        <w:t>شهد الربع الثالث من العام نظر القضاء العسكري 3 محاكمات متداولة مثل لها 449 مواطن مدني.</w:t>
      </w:r>
    </w:p>
    <w:p w14:paraId="7CAACB81" w14:textId="77777777" w:rsidR="00EB6EE8" w:rsidRPr="000F4F1D"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b/>
          <w:bCs/>
          <w:color w:val="31849B" w:themeColor="accent5" w:themeShade="BF"/>
          <w:sz w:val="28"/>
          <w:szCs w:val="28"/>
        </w:rPr>
      </w:pPr>
      <w:r w:rsidRPr="000F4F1D">
        <w:rPr>
          <w:rFonts w:ascii="TheSans" w:eastAsia="Times New Roman" w:hAnsi="TheSans" w:cs="TheSans"/>
          <w:b/>
          <w:bCs/>
          <w:color w:val="31849B" w:themeColor="accent5" w:themeShade="BF"/>
          <w:sz w:val="28"/>
          <w:szCs w:val="28"/>
          <w:rtl/>
        </w:rPr>
        <w:t>2 - أحكام القضاء:</w:t>
      </w:r>
    </w:p>
    <w:p w14:paraId="3F4E1E7B"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0"/>
          <w:sz w:val="28"/>
          <w:szCs w:val="28"/>
          <w:rtl/>
        </w:rPr>
        <w:t>شهد الربع الثالث من العام صدور 25 حكما بالإدانة، 10 أحكام بالبراءة وتفاصيلها كما يلي:</w:t>
      </w:r>
    </w:p>
    <w:p w14:paraId="32F43006" w14:textId="77777777" w:rsidR="00EB6EE8" w:rsidRPr="000F4F1D"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b/>
          <w:bCs/>
          <w:color w:val="E36C0A" w:themeColor="accent6" w:themeShade="BF"/>
          <w:sz w:val="28"/>
          <w:szCs w:val="28"/>
        </w:rPr>
      </w:pPr>
      <w:r w:rsidRPr="000F4F1D">
        <w:rPr>
          <w:rFonts w:ascii="TheSans" w:eastAsia="Times New Roman" w:hAnsi="TheSans" w:cs="TheSans"/>
          <w:b/>
          <w:bCs/>
          <w:color w:val="E36C0A" w:themeColor="accent6" w:themeShade="BF"/>
          <w:sz w:val="28"/>
          <w:szCs w:val="28"/>
          <w:rtl/>
        </w:rPr>
        <w:t>أحكام الإدانة :</w:t>
      </w:r>
    </w:p>
    <w:p w14:paraId="5CE319C3"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0"/>
          <w:sz w:val="28"/>
          <w:szCs w:val="28"/>
          <w:rtl/>
        </w:rPr>
        <w:t>أصدر القضاء المصري خلال الربع الثالث  25 حكماً بالإدانة ، وكان توزيعهم وفقاً لما يلي:</w:t>
      </w:r>
    </w:p>
    <w:p w14:paraId="0F6047E7"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0"/>
          <w:sz w:val="28"/>
          <w:szCs w:val="28"/>
          <w:rtl/>
        </w:rPr>
        <w:t>- 23 حكم ضد جماعة الإخوان وأنصارهم.</w:t>
      </w:r>
    </w:p>
    <w:p w14:paraId="7BB31845"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lastRenderedPageBreak/>
        <w:t xml:space="preserve">- حكم واحد ضد القوى المدنية </w:t>
      </w:r>
    </w:p>
    <w:p w14:paraId="20B7077A"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0"/>
          <w:sz w:val="28"/>
          <w:szCs w:val="28"/>
          <w:rtl/>
        </w:rPr>
        <w:t>- حكم واحد من القضاء العسكري ضد مدنيين</w:t>
      </w:r>
    </w:p>
    <w:p w14:paraId="262EB0FA" w14:textId="2956E427" w:rsidR="00EB6EE8" w:rsidRPr="00ED1793" w:rsidRDefault="000F4F1D">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0F4F1D">
        <w:rPr>
          <w:rFonts w:ascii="TheSans" w:eastAsia="Times New Roman" w:hAnsi="TheSans" w:cs="TheSans"/>
          <w:noProof/>
          <w:sz w:val="28"/>
          <w:szCs w:val="28"/>
        </w:rPr>
        <w:drawing>
          <wp:inline distT="0" distB="0" distL="0" distR="0" wp14:anchorId="651AC824" wp14:editId="160E219A">
            <wp:extent cx="5943600" cy="3817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17620"/>
                    </a:xfrm>
                    <a:prstGeom prst="rect">
                      <a:avLst/>
                    </a:prstGeom>
                  </pic:spPr>
                </pic:pic>
              </a:graphicData>
            </a:graphic>
          </wp:inline>
        </w:drawing>
      </w:r>
    </w:p>
    <w:p w14:paraId="6BE28E26" w14:textId="77777777" w:rsidR="000F4F1D" w:rsidRDefault="000F4F1D">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68482755" w14:textId="057B7274"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0"/>
          <w:sz w:val="28"/>
          <w:szCs w:val="28"/>
          <w:rtl/>
        </w:rPr>
        <w:t xml:space="preserve">صدر خلال الربع الثالث 10 </w:t>
      </w:r>
      <w:r w:rsidRPr="000F4F1D">
        <w:rPr>
          <w:rFonts w:ascii="TheSans" w:eastAsia="Times New Roman" w:hAnsi="TheSans" w:cs="TheSans"/>
          <w:b/>
          <w:bCs/>
          <w:color w:val="E36C0A" w:themeColor="accent6" w:themeShade="BF"/>
          <w:sz w:val="28"/>
          <w:szCs w:val="28"/>
          <w:rtl/>
        </w:rPr>
        <w:t>أحكام بالبراءة</w:t>
      </w:r>
      <w:r w:rsidRPr="00ED1793">
        <w:rPr>
          <w:rFonts w:ascii="TheSans" w:eastAsia="Times New Roman" w:hAnsi="TheSans" w:cs="TheSans"/>
          <w:color w:val="000000"/>
          <w:sz w:val="28"/>
          <w:szCs w:val="28"/>
          <w:rtl/>
        </w:rPr>
        <w:t>، وكان توزيعهم وفقاً لما يلي:</w:t>
      </w:r>
    </w:p>
    <w:p w14:paraId="3319D0C8"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A"/>
          <w:sz w:val="28"/>
          <w:szCs w:val="28"/>
          <w:rtl/>
        </w:rPr>
        <w:t>- 8 أحكام لجماعة الإخوان المسلمين وأنصارهم.</w:t>
      </w:r>
    </w:p>
    <w:p w14:paraId="006B4786"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A"/>
          <w:sz w:val="28"/>
          <w:szCs w:val="28"/>
          <w:rtl/>
        </w:rPr>
        <w:t>- حكم واحد ضد القوى المدنية</w:t>
      </w:r>
    </w:p>
    <w:p w14:paraId="2EA3A25E"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Pr>
      </w:pPr>
      <w:r w:rsidRPr="00ED1793">
        <w:rPr>
          <w:rFonts w:ascii="TheSans" w:eastAsia="Times New Roman" w:hAnsi="TheSans" w:cs="TheSans"/>
          <w:color w:val="00000A"/>
          <w:sz w:val="28"/>
          <w:szCs w:val="28"/>
          <w:rtl/>
        </w:rPr>
        <w:t>- حكم  واحد لمنتمين إلى نظام مبارك</w:t>
      </w:r>
    </w:p>
    <w:p w14:paraId="060D2600" w14:textId="1B33146B" w:rsidR="00EB6EE8" w:rsidRPr="00ED1793" w:rsidRDefault="000F4F1D">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u w:val="single"/>
        </w:rPr>
      </w:pPr>
      <w:r w:rsidRPr="000F4F1D">
        <w:rPr>
          <w:rFonts w:ascii="TheSans" w:eastAsia="Times New Roman" w:hAnsi="TheSans" w:cs="TheSans"/>
          <w:noProof/>
          <w:color w:val="000000"/>
          <w:sz w:val="28"/>
          <w:szCs w:val="28"/>
        </w:rPr>
        <w:lastRenderedPageBreak/>
        <w:drawing>
          <wp:inline distT="0" distB="0" distL="0" distR="0" wp14:anchorId="11A31554" wp14:editId="6B16F5AD">
            <wp:extent cx="5943600" cy="4839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839335"/>
                    </a:xfrm>
                    <a:prstGeom prst="rect">
                      <a:avLst/>
                    </a:prstGeom>
                  </pic:spPr>
                </pic:pic>
              </a:graphicData>
            </a:graphic>
          </wp:inline>
        </w:drawing>
      </w:r>
    </w:p>
    <w:p w14:paraId="4177739D" w14:textId="77777777" w:rsidR="00EB6EE8" w:rsidRPr="000F4F1D"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b/>
          <w:bCs/>
          <w:color w:val="E36C0A" w:themeColor="accent6" w:themeShade="BF"/>
          <w:sz w:val="28"/>
          <w:szCs w:val="28"/>
        </w:rPr>
      </w:pPr>
      <w:r w:rsidRPr="000F4F1D">
        <w:rPr>
          <w:rFonts w:ascii="TheSans" w:eastAsia="Times New Roman" w:hAnsi="TheSans" w:cs="TheSans"/>
          <w:b/>
          <w:bCs/>
          <w:color w:val="E36C0A" w:themeColor="accent6" w:themeShade="BF"/>
          <w:sz w:val="28"/>
          <w:szCs w:val="28"/>
          <w:rtl/>
        </w:rPr>
        <w:t>أحكام الإعدام:</w:t>
      </w:r>
    </w:p>
    <w:p w14:paraId="1E9B2EEB" w14:textId="4783C868" w:rsidR="00EB6EE8"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r w:rsidRPr="00ED1793">
        <w:rPr>
          <w:rFonts w:ascii="TheSans" w:eastAsia="Times New Roman" w:hAnsi="TheSans" w:cs="TheSans"/>
          <w:color w:val="000000"/>
          <w:sz w:val="28"/>
          <w:szCs w:val="28"/>
          <w:rtl/>
        </w:rPr>
        <w:t xml:space="preserve">شهد الربع الثالث من العام 42 حكما بالإعدام من بينهم 32 حكما في قضايا جنائية ضد </w:t>
      </w:r>
      <w:r w:rsidRPr="00ED1793">
        <w:rPr>
          <w:rFonts w:ascii="TheSans" w:eastAsia="Times New Roman" w:hAnsi="TheSans" w:cs="TheSans"/>
          <w:b/>
          <w:color w:val="000000"/>
          <w:sz w:val="28"/>
          <w:szCs w:val="28"/>
          <w:rtl/>
        </w:rPr>
        <w:t>69 متهما</w:t>
      </w:r>
      <w:r w:rsidRPr="00ED1793">
        <w:rPr>
          <w:rFonts w:ascii="TheSans" w:eastAsia="Times New Roman" w:hAnsi="TheSans" w:cs="TheSans"/>
          <w:color w:val="000000"/>
          <w:sz w:val="28"/>
          <w:szCs w:val="28"/>
          <w:rtl/>
        </w:rPr>
        <w:t xml:space="preserve"> و10 أحكام في قضايا سياسية ضد  </w:t>
      </w:r>
      <w:r w:rsidRPr="00ED1793">
        <w:rPr>
          <w:rFonts w:ascii="TheSans" w:eastAsia="Times New Roman" w:hAnsi="TheSans" w:cs="TheSans"/>
          <w:b/>
          <w:color w:val="000000"/>
          <w:sz w:val="28"/>
          <w:szCs w:val="28"/>
          <w:rtl/>
        </w:rPr>
        <w:t>124 متهم.</w:t>
      </w:r>
      <w:r w:rsidR="000F4F1D">
        <w:rPr>
          <w:rFonts w:ascii="TheSans" w:eastAsia="Times New Roman" w:hAnsi="TheSans" w:cs="TheSans"/>
          <w:noProof/>
          <w:color w:val="000000"/>
          <w:sz w:val="28"/>
          <w:szCs w:val="28"/>
          <w:rtl/>
          <w:lang w:val="ar-SA"/>
        </w:rPr>
        <w:lastRenderedPageBreak/>
        <w:drawing>
          <wp:inline distT="0" distB="0" distL="0" distR="0" wp14:anchorId="7CECA55A" wp14:editId="5760F2D8">
            <wp:extent cx="5943600" cy="4839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839335"/>
                    </a:xfrm>
                    <a:prstGeom prst="rect">
                      <a:avLst/>
                    </a:prstGeom>
                  </pic:spPr>
                </pic:pic>
              </a:graphicData>
            </a:graphic>
          </wp:inline>
        </w:drawing>
      </w:r>
    </w:p>
    <w:p w14:paraId="08121D7A" w14:textId="77777777" w:rsidR="00EB6EE8" w:rsidRPr="000F4F1D" w:rsidRDefault="001C2DB7" w:rsidP="000F4F1D">
      <w:pPr>
        <w:widowControl w:val="0"/>
        <w:pBdr>
          <w:top w:val="nil"/>
          <w:left w:val="nil"/>
          <w:bottom w:val="nil"/>
          <w:right w:val="nil"/>
          <w:between w:val="nil"/>
        </w:pBdr>
        <w:tabs>
          <w:tab w:val="left" w:pos="709"/>
        </w:tabs>
        <w:spacing w:after="120" w:line="240" w:lineRule="auto"/>
        <w:ind w:left="1" w:hanging="3"/>
        <w:rPr>
          <w:rFonts w:ascii="TheSans" w:eastAsia="Times New Roman" w:hAnsi="TheSans" w:cs="TheSans"/>
          <w:color w:val="31849B" w:themeColor="accent5" w:themeShade="BF"/>
          <w:sz w:val="28"/>
          <w:szCs w:val="28"/>
        </w:rPr>
      </w:pPr>
      <w:r w:rsidRPr="000F4F1D">
        <w:rPr>
          <w:rFonts w:ascii="TheSans" w:eastAsia="Times New Roman" w:hAnsi="TheSans" w:cs="TheSans"/>
          <w:color w:val="31849B" w:themeColor="accent5" w:themeShade="BF"/>
          <w:sz w:val="28"/>
          <w:szCs w:val="28"/>
          <w:rtl/>
        </w:rPr>
        <w:t xml:space="preserve"> وتفاصيلهم في الجدول التالي:</w:t>
      </w:r>
    </w:p>
    <w:p w14:paraId="3A017609"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u w:val="single"/>
        </w:rPr>
      </w:pPr>
      <w:r w:rsidRPr="00ED1793">
        <w:rPr>
          <w:rFonts w:ascii="TheSans" w:eastAsia="Times New Roman" w:hAnsi="TheSans" w:cs="TheSans"/>
          <w:color w:val="000000"/>
          <w:sz w:val="28"/>
          <w:szCs w:val="28"/>
          <w:u w:val="single"/>
          <w:rtl/>
        </w:rPr>
        <w:t>1- جدول الأحكام</w:t>
      </w:r>
    </w:p>
    <w:tbl>
      <w:tblPr>
        <w:tblStyle w:val="5"/>
        <w:bidiVisual/>
        <w:tblW w:w="874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6"/>
        <w:gridCol w:w="2876"/>
        <w:gridCol w:w="3086"/>
      </w:tblGrid>
      <w:tr w:rsidR="00EB6EE8" w:rsidRPr="00ED1793" w14:paraId="1DBA118E" w14:textId="77777777">
        <w:trPr>
          <w:jc w:val="right"/>
        </w:trPr>
        <w:tc>
          <w:tcPr>
            <w:tcW w:w="2786" w:type="dxa"/>
          </w:tcPr>
          <w:p w14:paraId="651A1142" w14:textId="77777777" w:rsidR="00EB6EE8" w:rsidRPr="00ED1793" w:rsidRDefault="001C2DB7">
            <w:pPr>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أحكام الإعدام الصادرة من القضاء المدني</w:t>
            </w:r>
          </w:p>
        </w:tc>
        <w:tc>
          <w:tcPr>
            <w:tcW w:w="2876" w:type="dxa"/>
          </w:tcPr>
          <w:p w14:paraId="3414F096" w14:textId="77777777" w:rsidR="00EB6EE8" w:rsidRPr="00ED1793" w:rsidRDefault="001C2DB7">
            <w:pPr>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أحكام الإعدام الصادرة من القضاء العسكري</w:t>
            </w:r>
          </w:p>
        </w:tc>
        <w:tc>
          <w:tcPr>
            <w:tcW w:w="3086" w:type="dxa"/>
          </w:tcPr>
          <w:p w14:paraId="225E7BA4" w14:textId="77777777" w:rsidR="00EB6EE8" w:rsidRPr="006535FB" w:rsidRDefault="001C2DB7">
            <w:pPr>
              <w:pBdr>
                <w:top w:val="nil"/>
                <w:left w:val="nil"/>
                <w:bottom w:val="nil"/>
                <w:right w:val="nil"/>
                <w:between w:val="nil"/>
              </w:pBdr>
              <w:spacing w:line="240" w:lineRule="auto"/>
              <w:ind w:left="1" w:hanging="3"/>
              <w:jc w:val="center"/>
              <w:rPr>
                <w:rFonts w:ascii="TheSans" w:eastAsia="Times New Roman" w:hAnsi="TheSans" w:cs="TheSans"/>
                <w:b/>
                <w:bCs/>
                <w:color w:val="FF0000"/>
                <w:sz w:val="28"/>
                <w:szCs w:val="28"/>
              </w:rPr>
            </w:pPr>
            <w:r w:rsidRPr="006535FB">
              <w:rPr>
                <w:rFonts w:ascii="TheSans" w:eastAsia="Times New Roman" w:hAnsi="TheSans" w:cs="TheSans"/>
                <w:b/>
                <w:bCs/>
                <w:color w:val="FF0000"/>
                <w:sz w:val="28"/>
                <w:szCs w:val="28"/>
                <w:rtl/>
              </w:rPr>
              <w:t>إجمالي عدد الأحكام</w:t>
            </w:r>
          </w:p>
        </w:tc>
      </w:tr>
      <w:tr w:rsidR="00EB6EE8" w:rsidRPr="00ED1793" w14:paraId="507A928C" w14:textId="77777777">
        <w:trPr>
          <w:jc w:val="right"/>
        </w:trPr>
        <w:tc>
          <w:tcPr>
            <w:tcW w:w="2786" w:type="dxa"/>
          </w:tcPr>
          <w:p w14:paraId="0640394D" w14:textId="77777777" w:rsidR="00EB6EE8" w:rsidRPr="00ED1793" w:rsidRDefault="001C2DB7">
            <w:pPr>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42</w:t>
            </w:r>
          </w:p>
        </w:tc>
        <w:tc>
          <w:tcPr>
            <w:tcW w:w="2876" w:type="dxa"/>
          </w:tcPr>
          <w:p w14:paraId="68E2E1BD" w14:textId="77777777" w:rsidR="00EB6EE8" w:rsidRPr="00ED1793" w:rsidRDefault="001C2DB7">
            <w:pPr>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w:t>
            </w:r>
          </w:p>
        </w:tc>
        <w:tc>
          <w:tcPr>
            <w:tcW w:w="3086" w:type="dxa"/>
          </w:tcPr>
          <w:p w14:paraId="62FAF449" w14:textId="77777777" w:rsidR="00EB6EE8" w:rsidRPr="006535FB" w:rsidRDefault="001C2DB7">
            <w:pPr>
              <w:pBdr>
                <w:top w:val="nil"/>
                <w:left w:val="nil"/>
                <w:bottom w:val="nil"/>
                <w:right w:val="nil"/>
                <w:between w:val="nil"/>
              </w:pBdr>
              <w:spacing w:line="240" w:lineRule="auto"/>
              <w:ind w:left="1" w:hanging="3"/>
              <w:jc w:val="center"/>
              <w:rPr>
                <w:rFonts w:ascii="TheSans" w:eastAsia="Times New Roman" w:hAnsi="TheSans" w:cs="TheSans"/>
                <w:b/>
                <w:bCs/>
                <w:color w:val="FF0000"/>
                <w:sz w:val="28"/>
                <w:szCs w:val="28"/>
              </w:rPr>
            </w:pPr>
            <w:r w:rsidRPr="006535FB">
              <w:rPr>
                <w:rFonts w:ascii="TheSans" w:eastAsia="Times New Roman" w:hAnsi="TheSans" w:cs="TheSans"/>
                <w:b/>
                <w:bCs/>
                <w:color w:val="FF0000"/>
                <w:sz w:val="28"/>
                <w:szCs w:val="28"/>
              </w:rPr>
              <w:t>42</w:t>
            </w:r>
          </w:p>
        </w:tc>
      </w:tr>
    </w:tbl>
    <w:p w14:paraId="5945FEE2" w14:textId="77777777" w:rsidR="006535FB" w:rsidRDefault="006535FB">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u w:val="single"/>
          <w:rtl/>
        </w:rPr>
      </w:pPr>
    </w:p>
    <w:p w14:paraId="33269D32" w14:textId="77777777" w:rsidR="006535FB" w:rsidRDefault="006535FB">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u w:val="single"/>
          <w:rtl/>
        </w:rPr>
      </w:pPr>
    </w:p>
    <w:p w14:paraId="4214D38E" w14:textId="77777777" w:rsidR="006535FB" w:rsidRDefault="006535FB">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u w:val="single"/>
          <w:rtl/>
        </w:rPr>
      </w:pPr>
    </w:p>
    <w:p w14:paraId="3883B882" w14:textId="77777777" w:rsidR="006535FB" w:rsidRDefault="006535FB">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u w:val="single"/>
          <w:rtl/>
        </w:rPr>
      </w:pPr>
    </w:p>
    <w:p w14:paraId="0954F2A2" w14:textId="3404D59D"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u w:val="single"/>
        </w:rPr>
      </w:pPr>
      <w:r w:rsidRPr="00ED1793">
        <w:rPr>
          <w:rFonts w:ascii="TheSans" w:eastAsia="Times New Roman" w:hAnsi="TheSans" w:cs="TheSans"/>
          <w:color w:val="000000"/>
          <w:sz w:val="28"/>
          <w:szCs w:val="28"/>
          <w:u w:val="single"/>
          <w:rtl/>
        </w:rPr>
        <w:lastRenderedPageBreak/>
        <w:t>2- جدول المتهمين</w:t>
      </w:r>
    </w:p>
    <w:tbl>
      <w:tblPr>
        <w:tblStyle w:val="4"/>
        <w:bidiVisual/>
        <w:tblW w:w="889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1"/>
        <w:gridCol w:w="1781"/>
        <w:gridCol w:w="1811"/>
        <w:gridCol w:w="1811"/>
        <w:gridCol w:w="1856"/>
      </w:tblGrid>
      <w:tr w:rsidR="00EB6EE8" w:rsidRPr="00ED1793" w14:paraId="51695CA2" w14:textId="77777777">
        <w:trPr>
          <w:jc w:val="right"/>
        </w:trPr>
        <w:tc>
          <w:tcPr>
            <w:tcW w:w="1631" w:type="dxa"/>
          </w:tcPr>
          <w:p w14:paraId="1AECE84D" w14:textId="77777777" w:rsidR="00EB6EE8" w:rsidRPr="00ED1793" w:rsidRDefault="00EB6EE8">
            <w:pPr>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p>
        </w:tc>
        <w:tc>
          <w:tcPr>
            <w:tcW w:w="1781" w:type="dxa"/>
          </w:tcPr>
          <w:p w14:paraId="0D989556" w14:textId="77777777" w:rsidR="00EB6EE8" w:rsidRPr="00ED1793" w:rsidRDefault="001C2DB7">
            <w:pPr>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عدد المتهمين المحالين إلى المفتي</w:t>
            </w:r>
          </w:p>
        </w:tc>
        <w:tc>
          <w:tcPr>
            <w:tcW w:w="1811" w:type="dxa"/>
          </w:tcPr>
          <w:p w14:paraId="31A5C309" w14:textId="77777777" w:rsidR="00EB6EE8" w:rsidRPr="00ED1793" w:rsidRDefault="001C2DB7">
            <w:pPr>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عدد المتهمين المؤيد إعدامهم من المفتي</w:t>
            </w:r>
          </w:p>
        </w:tc>
        <w:tc>
          <w:tcPr>
            <w:tcW w:w="1811" w:type="dxa"/>
          </w:tcPr>
          <w:p w14:paraId="3F37EBFD" w14:textId="77777777" w:rsidR="00EB6EE8" w:rsidRPr="00ED1793" w:rsidRDefault="001C2DB7">
            <w:pPr>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عدد المتهمين المؤيد إعدامهم من قبل محكمة النقض</w:t>
            </w:r>
          </w:p>
        </w:tc>
        <w:tc>
          <w:tcPr>
            <w:tcW w:w="1856" w:type="dxa"/>
          </w:tcPr>
          <w:p w14:paraId="5F6519D5" w14:textId="77777777" w:rsidR="00EB6EE8" w:rsidRPr="006535FB" w:rsidRDefault="001C2DB7">
            <w:pPr>
              <w:pBdr>
                <w:top w:val="nil"/>
                <w:left w:val="nil"/>
                <w:bottom w:val="nil"/>
                <w:right w:val="nil"/>
                <w:between w:val="nil"/>
              </w:pBdr>
              <w:spacing w:line="240" w:lineRule="auto"/>
              <w:ind w:left="1" w:hanging="3"/>
              <w:jc w:val="center"/>
              <w:rPr>
                <w:rFonts w:ascii="TheSans" w:eastAsia="Times New Roman" w:hAnsi="TheSans" w:cs="TheSans"/>
                <w:b/>
                <w:bCs/>
                <w:color w:val="FF0000"/>
                <w:sz w:val="28"/>
                <w:szCs w:val="28"/>
              </w:rPr>
            </w:pPr>
            <w:r w:rsidRPr="006535FB">
              <w:rPr>
                <w:rFonts w:ascii="TheSans" w:eastAsia="Times New Roman" w:hAnsi="TheSans" w:cs="TheSans"/>
                <w:b/>
                <w:bCs/>
                <w:color w:val="FF0000"/>
                <w:sz w:val="28"/>
                <w:szCs w:val="28"/>
                <w:rtl/>
              </w:rPr>
              <w:t xml:space="preserve"> إجمالي</w:t>
            </w:r>
          </w:p>
          <w:p w14:paraId="449CE0D0" w14:textId="77777777" w:rsidR="00EB6EE8" w:rsidRPr="006535FB" w:rsidRDefault="001C2DB7">
            <w:pPr>
              <w:pBdr>
                <w:top w:val="nil"/>
                <w:left w:val="nil"/>
                <w:bottom w:val="nil"/>
                <w:right w:val="nil"/>
                <w:between w:val="nil"/>
              </w:pBdr>
              <w:spacing w:line="240" w:lineRule="auto"/>
              <w:ind w:left="1" w:hanging="3"/>
              <w:jc w:val="center"/>
              <w:rPr>
                <w:rFonts w:ascii="TheSans" w:eastAsia="Times New Roman" w:hAnsi="TheSans" w:cs="TheSans"/>
                <w:b/>
                <w:bCs/>
                <w:color w:val="FF0000"/>
                <w:sz w:val="28"/>
                <w:szCs w:val="28"/>
              </w:rPr>
            </w:pPr>
            <w:r w:rsidRPr="006535FB">
              <w:rPr>
                <w:rFonts w:ascii="TheSans" w:eastAsia="Times New Roman" w:hAnsi="TheSans" w:cs="TheSans"/>
                <w:b/>
                <w:bCs/>
                <w:color w:val="FF0000"/>
                <w:sz w:val="28"/>
                <w:szCs w:val="28"/>
                <w:rtl/>
              </w:rPr>
              <w:t>(عدد المتهمين)</w:t>
            </w:r>
          </w:p>
        </w:tc>
      </w:tr>
      <w:tr w:rsidR="00EB6EE8" w:rsidRPr="00ED1793" w14:paraId="4388CD3C" w14:textId="77777777">
        <w:trPr>
          <w:jc w:val="right"/>
        </w:trPr>
        <w:tc>
          <w:tcPr>
            <w:tcW w:w="1631" w:type="dxa"/>
          </w:tcPr>
          <w:p w14:paraId="5213A138" w14:textId="77777777" w:rsidR="00EB6EE8" w:rsidRPr="00ED1793" w:rsidRDefault="001C2DB7">
            <w:pPr>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مدني</w:t>
            </w:r>
          </w:p>
        </w:tc>
        <w:tc>
          <w:tcPr>
            <w:tcW w:w="1781" w:type="dxa"/>
          </w:tcPr>
          <w:p w14:paraId="561CD089" w14:textId="77777777" w:rsidR="00EB6EE8" w:rsidRPr="00ED1793" w:rsidRDefault="001C2DB7">
            <w:pPr>
              <w:pBdr>
                <w:top w:val="nil"/>
                <w:left w:val="nil"/>
                <w:bottom w:val="nil"/>
                <w:right w:val="nil"/>
                <w:between w:val="nil"/>
              </w:pBdr>
              <w:spacing w:line="240" w:lineRule="auto"/>
              <w:ind w:left="1" w:right="-360"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97</w:t>
            </w:r>
          </w:p>
        </w:tc>
        <w:tc>
          <w:tcPr>
            <w:tcW w:w="1811" w:type="dxa"/>
          </w:tcPr>
          <w:p w14:paraId="2A7906E4" w14:textId="77777777" w:rsidR="00EB6EE8" w:rsidRPr="00ED1793" w:rsidRDefault="001C2DB7">
            <w:pPr>
              <w:pBdr>
                <w:top w:val="nil"/>
                <w:left w:val="nil"/>
                <w:bottom w:val="nil"/>
                <w:right w:val="nil"/>
                <w:between w:val="nil"/>
              </w:pBdr>
              <w:spacing w:line="240" w:lineRule="auto"/>
              <w:ind w:left="1" w:right="-360"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96</w:t>
            </w:r>
          </w:p>
        </w:tc>
        <w:tc>
          <w:tcPr>
            <w:tcW w:w="1811" w:type="dxa"/>
          </w:tcPr>
          <w:p w14:paraId="000A1A9F" w14:textId="77777777" w:rsidR="00EB6EE8" w:rsidRPr="00ED1793" w:rsidRDefault="001C2DB7">
            <w:pPr>
              <w:pBdr>
                <w:top w:val="nil"/>
                <w:left w:val="nil"/>
                <w:bottom w:val="nil"/>
                <w:right w:val="nil"/>
                <w:between w:val="nil"/>
              </w:pBdr>
              <w:spacing w:line="240" w:lineRule="auto"/>
              <w:ind w:left="1" w:right="-360"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w:t>
            </w:r>
          </w:p>
        </w:tc>
        <w:tc>
          <w:tcPr>
            <w:tcW w:w="1856" w:type="dxa"/>
          </w:tcPr>
          <w:p w14:paraId="1EABE54F" w14:textId="77777777" w:rsidR="00EB6EE8" w:rsidRPr="006535FB" w:rsidRDefault="001C2DB7">
            <w:pPr>
              <w:pBdr>
                <w:top w:val="nil"/>
                <w:left w:val="nil"/>
                <w:bottom w:val="nil"/>
                <w:right w:val="nil"/>
                <w:between w:val="nil"/>
              </w:pBdr>
              <w:spacing w:line="240" w:lineRule="auto"/>
              <w:ind w:left="1" w:right="-360" w:hanging="3"/>
              <w:jc w:val="center"/>
              <w:rPr>
                <w:rFonts w:ascii="TheSans" w:eastAsia="Times New Roman" w:hAnsi="TheSans" w:cs="TheSans"/>
                <w:b/>
                <w:bCs/>
                <w:color w:val="FF0000"/>
                <w:sz w:val="28"/>
                <w:szCs w:val="28"/>
              </w:rPr>
            </w:pPr>
            <w:r w:rsidRPr="006535FB">
              <w:rPr>
                <w:rFonts w:ascii="TheSans" w:eastAsia="Times New Roman" w:hAnsi="TheSans" w:cs="TheSans"/>
                <w:b/>
                <w:bCs/>
                <w:color w:val="FF0000"/>
                <w:sz w:val="28"/>
                <w:szCs w:val="28"/>
              </w:rPr>
              <w:t>193</w:t>
            </w:r>
          </w:p>
        </w:tc>
      </w:tr>
      <w:tr w:rsidR="00EB6EE8" w:rsidRPr="00ED1793" w14:paraId="4DDF55D6" w14:textId="77777777">
        <w:trPr>
          <w:jc w:val="right"/>
        </w:trPr>
        <w:tc>
          <w:tcPr>
            <w:tcW w:w="1631" w:type="dxa"/>
          </w:tcPr>
          <w:p w14:paraId="72364D7C" w14:textId="77777777" w:rsidR="00EB6EE8" w:rsidRPr="00ED1793" w:rsidRDefault="001C2DB7">
            <w:pPr>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sz w:val="28"/>
                <w:szCs w:val="28"/>
              </w:rPr>
              <w:t>6</w:t>
            </w:r>
            <w:r w:rsidRPr="00ED1793">
              <w:rPr>
                <w:rFonts w:ascii="TheSans" w:eastAsia="Times New Roman" w:hAnsi="TheSans" w:cs="TheSans"/>
                <w:color w:val="000000"/>
                <w:sz w:val="28"/>
                <w:szCs w:val="28"/>
                <w:rtl/>
              </w:rPr>
              <w:t>عسكري</w:t>
            </w:r>
          </w:p>
        </w:tc>
        <w:tc>
          <w:tcPr>
            <w:tcW w:w="1781" w:type="dxa"/>
          </w:tcPr>
          <w:p w14:paraId="28479452" w14:textId="77777777" w:rsidR="00EB6EE8" w:rsidRPr="00ED1793" w:rsidRDefault="001C2DB7">
            <w:pPr>
              <w:pBdr>
                <w:top w:val="nil"/>
                <w:left w:val="nil"/>
                <w:bottom w:val="nil"/>
                <w:right w:val="nil"/>
                <w:between w:val="nil"/>
              </w:pBdr>
              <w:spacing w:line="240" w:lineRule="auto"/>
              <w:ind w:left="1" w:right="-360"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w:t>
            </w:r>
          </w:p>
        </w:tc>
        <w:tc>
          <w:tcPr>
            <w:tcW w:w="1811" w:type="dxa"/>
          </w:tcPr>
          <w:p w14:paraId="5D11D472" w14:textId="77777777" w:rsidR="00EB6EE8" w:rsidRPr="00ED1793" w:rsidRDefault="001C2DB7">
            <w:pPr>
              <w:pBdr>
                <w:top w:val="nil"/>
                <w:left w:val="nil"/>
                <w:bottom w:val="nil"/>
                <w:right w:val="nil"/>
                <w:between w:val="nil"/>
              </w:pBdr>
              <w:spacing w:line="240" w:lineRule="auto"/>
              <w:ind w:left="1" w:right="-360"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w:t>
            </w:r>
          </w:p>
        </w:tc>
        <w:tc>
          <w:tcPr>
            <w:tcW w:w="1811" w:type="dxa"/>
          </w:tcPr>
          <w:p w14:paraId="100FFE45" w14:textId="77777777" w:rsidR="00EB6EE8" w:rsidRPr="00ED1793" w:rsidRDefault="001C2DB7">
            <w:pPr>
              <w:pBdr>
                <w:top w:val="nil"/>
                <w:left w:val="nil"/>
                <w:bottom w:val="nil"/>
                <w:right w:val="nil"/>
                <w:between w:val="nil"/>
              </w:pBdr>
              <w:spacing w:line="240" w:lineRule="auto"/>
              <w:ind w:left="1" w:right="-360"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w:t>
            </w:r>
          </w:p>
        </w:tc>
        <w:tc>
          <w:tcPr>
            <w:tcW w:w="1856" w:type="dxa"/>
          </w:tcPr>
          <w:p w14:paraId="509A6346" w14:textId="77777777" w:rsidR="00EB6EE8" w:rsidRPr="006535FB" w:rsidRDefault="001C2DB7">
            <w:pPr>
              <w:pBdr>
                <w:top w:val="nil"/>
                <w:left w:val="nil"/>
                <w:bottom w:val="nil"/>
                <w:right w:val="nil"/>
                <w:between w:val="nil"/>
              </w:pBdr>
              <w:spacing w:line="240" w:lineRule="auto"/>
              <w:ind w:left="1" w:right="-360" w:hanging="3"/>
              <w:jc w:val="center"/>
              <w:rPr>
                <w:rFonts w:ascii="TheSans" w:eastAsia="Times New Roman" w:hAnsi="TheSans" w:cs="TheSans"/>
                <w:b/>
                <w:bCs/>
                <w:color w:val="FF0000"/>
                <w:sz w:val="28"/>
                <w:szCs w:val="28"/>
              </w:rPr>
            </w:pPr>
            <w:r w:rsidRPr="006535FB">
              <w:rPr>
                <w:rFonts w:ascii="TheSans" w:eastAsia="Times New Roman" w:hAnsi="TheSans" w:cs="TheSans"/>
                <w:b/>
                <w:bCs/>
                <w:color w:val="FF0000"/>
                <w:sz w:val="28"/>
                <w:szCs w:val="28"/>
              </w:rPr>
              <w:t>--</w:t>
            </w:r>
          </w:p>
        </w:tc>
      </w:tr>
      <w:tr w:rsidR="00EB6EE8" w:rsidRPr="00ED1793" w14:paraId="6B428C95" w14:textId="77777777">
        <w:trPr>
          <w:jc w:val="right"/>
        </w:trPr>
        <w:tc>
          <w:tcPr>
            <w:tcW w:w="1631" w:type="dxa"/>
          </w:tcPr>
          <w:p w14:paraId="0BECD1AE" w14:textId="77777777" w:rsidR="00EB6EE8" w:rsidRPr="00ED1793" w:rsidRDefault="001C2DB7">
            <w:pPr>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الإجمالي</w:t>
            </w:r>
          </w:p>
        </w:tc>
        <w:tc>
          <w:tcPr>
            <w:tcW w:w="1781" w:type="dxa"/>
          </w:tcPr>
          <w:p w14:paraId="1734B902" w14:textId="77777777" w:rsidR="00EB6EE8" w:rsidRPr="00ED1793" w:rsidRDefault="001C2DB7">
            <w:pPr>
              <w:pBdr>
                <w:top w:val="nil"/>
                <w:left w:val="nil"/>
                <w:bottom w:val="nil"/>
                <w:right w:val="nil"/>
                <w:between w:val="nil"/>
              </w:pBdr>
              <w:spacing w:line="240" w:lineRule="auto"/>
              <w:ind w:left="1" w:right="-360"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97</w:t>
            </w:r>
          </w:p>
        </w:tc>
        <w:tc>
          <w:tcPr>
            <w:tcW w:w="1811" w:type="dxa"/>
          </w:tcPr>
          <w:p w14:paraId="5CAA4F6D" w14:textId="77777777" w:rsidR="00EB6EE8" w:rsidRPr="00ED1793" w:rsidRDefault="001C2DB7">
            <w:pPr>
              <w:pBdr>
                <w:top w:val="nil"/>
                <w:left w:val="nil"/>
                <w:bottom w:val="nil"/>
                <w:right w:val="nil"/>
                <w:between w:val="nil"/>
              </w:pBdr>
              <w:spacing w:line="240" w:lineRule="auto"/>
              <w:ind w:left="1" w:right="-360"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96</w:t>
            </w:r>
          </w:p>
        </w:tc>
        <w:tc>
          <w:tcPr>
            <w:tcW w:w="1811" w:type="dxa"/>
          </w:tcPr>
          <w:p w14:paraId="0CB5F04D" w14:textId="77777777" w:rsidR="00EB6EE8" w:rsidRPr="00ED1793" w:rsidRDefault="001C2DB7">
            <w:pPr>
              <w:pBdr>
                <w:top w:val="nil"/>
                <w:left w:val="nil"/>
                <w:bottom w:val="nil"/>
                <w:right w:val="nil"/>
                <w:between w:val="nil"/>
              </w:pBdr>
              <w:spacing w:line="240" w:lineRule="auto"/>
              <w:ind w:left="1" w:right="-360"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w:t>
            </w:r>
          </w:p>
        </w:tc>
        <w:tc>
          <w:tcPr>
            <w:tcW w:w="1856" w:type="dxa"/>
          </w:tcPr>
          <w:p w14:paraId="3AD07C6F" w14:textId="77777777" w:rsidR="00EB6EE8" w:rsidRPr="006535FB" w:rsidRDefault="001C2DB7">
            <w:pPr>
              <w:pBdr>
                <w:top w:val="nil"/>
                <w:left w:val="nil"/>
                <w:bottom w:val="nil"/>
                <w:right w:val="nil"/>
                <w:between w:val="nil"/>
              </w:pBdr>
              <w:spacing w:line="240" w:lineRule="auto"/>
              <w:ind w:left="1" w:right="-360" w:hanging="3"/>
              <w:jc w:val="center"/>
              <w:rPr>
                <w:rFonts w:ascii="TheSans" w:eastAsia="Times New Roman" w:hAnsi="TheSans" w:cs="TheSans"/>
                <w:b/>
                <w:bCs/>
                <w:color w:val="FF0000"/>
                <w:sz w:val="28"/>
                <w:szCs w:val="28"/>
              </w:rPr>
            </w:pPr>
            <w:r w:rsidRPr="006535FB">
              <w:rPr>
                <w:rFonts w:ascii="TheSans" w:eastAsia="Times New Roman" w:hAnsi="TheSans" w:cs="TheSans"/>
                <w:b/>
                <w:bCs/>
                <w:color w:val="FF0000"/>
                <w:sz w:val="28"/>
                <w:szCs w:val="28"/>
              </w:rPr>
              <w:t>193</w:t>
            </w:r>
          </w:p>
        </w:tc>
      </w:tr>
    </w:tbl>
    <w:p w14:paraId="73181D4C" w14:textId="77777777" w:rsidR="00EB6EE8" w:rsidRPr="00ED1793" w:rsidRDefault="00EB6EE8">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u w:val="single"/>
        </w:rPr>
      </w:pPr>
    </w:p>
    <w:p w14:paraId="7F28DF79" w14:textId="77777777" w:rsidR="00EB6EE8" w:rsidRPr="000F4F1D"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b/>
          <w:bCs/>
          <w:color w:val="E36C0A" w:themeColor="accent6" w:themeShade="BF"/>
          <w:sz w:val="28"/>
          <w:szCs w:val="28"/>
        </w:rPr>
      </w:pPr>
      <w:r w:rsidRPr="000F4F1D">
        <w:rPr>
          <w:rFonts w:ascii="TheSans" w:eastAsia="Times New Roman" w:hAnsi="TheSans" w:cs="TheSans"/>
          <w:b/>
          <w:bCs/>
          <w:color w:val="E36C0A" w:themeColor="accent6" w:themeShade="BF"/>
          <w:sz w:val="28"/>
          <w:szCs w:val="28"/>
          <w:rtl/>
        </w:rPr>
        <w:t>3- أحكام إعدام تم تنفيذها:</w:t>
      </w:r>
    </w:p>
    <w:p w14:paraId="5E121054"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b/>
          <w:color w:val="000000"/>
          <w:sz w:val="28"/>
          <w:szCs w:val="28"/>
          <w:rtl/>
        </w:rPr>
        <w:t xml:space="preserve">شهد الربع الثالث من العام تنفيذ قطاع مصلحة السجون حكمين  بالإعدام ضد </w:t>
      </w:r>
      <w:r w:rsidRPr="00ED1793">
        <w:rPr>
          <w:rFonts w:ascii="TheSans" w:eastAsia="Times New Roman" w:hAnsi="TheSans" w:cs="TheSans"/>
          <w:color w:val="000000"/>
          <w:sz w:val="28"/>
          <w:szCs w:val="28"/>
          <w:u w:val="single"/>
          <w:rtl/>
        </w:rPr>
        <w:t>متهمين اثنين</w:t>
      </w:r>
      <w:r w:rsidRPr="00ED1793">
        <w:rPr>
          <w:rFonts w:ascii="TheSans" w:eastAsia="Times New Roman" w:hAnsi="TheSans" w:cs="TheSans"/>
          <w:b/>
          <w:color w:val="000000"/>
          <w:sz w:val="28"/>
          <w:szCs w:val="28"/>
          <w:rtl/>
        </w:rPr>
        <w:t xml:space="preserve"> احدهم في قضية جنائية والأخر في قضية سياسية وكان تنفيذ تلك الأحكام في شهري يوليو وأغسطس كما يلي:</w:t>
      </w:r>
    </w:p>
    <w:p w14:paraId="76094B97" w14:textId="77777777" w:rsidR="00EB6EE8" w:rsidRPr="00ED1793" w:rsidRDefault="001C2DB7">
      <w:pPr>
        <w:widowControl w:val="0"/>
        <w:numPr>
          <w:ilvl w:val="0"/>
          <w:numId w:val="5"/>
        </w:numPr>
        <w:pBdr>
          <w:top w:val="nil"/>
          <w:left w:val="nil"/>
          <w:bottom w:val="nil"/>
          <w:right w:val="nil"/>
          <w:between w:val="nil"/>
        </w:pBdr>
        <w:tabs>
          <w:tab w:val="left" w:pos="709"/>
        </w:tabs>
        <w:spacing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بتاريخ 4 يوليو 2021 اعلنت مصادر داخل وزارة الداخلية تنفيذ قطاع مصلحة السجون المصرية في سجن استئناف القاهرة حكم الاعدام الصادر ضد أحد أعضاء تنظيم الإخوان ويدعى معتز مصطفى والمتهم فى القضية المعروفة إعلاميا بمحاولة اغتيال مدير أمن الاسكندرية.</w:t>
      </w:r>
    </w:p>
    <w:p w14:paraId="5DA5E154" w14:textId="77777777" w:rsidR="00EB6EE8" w:rsidRPr="00ED1793" w:rsidRDefault="001C2DB7">
      <w:pPr>
        <w:widowControl w:val="0"/>
        <w:numPr>
          <w:ilvl w:val="0"/>
          <w:numId w:val="5"/>
        </w:numPr>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بتاريخ 18 أغسطس 2021 نفذت أجهزة الأمن، حكم الإعدام شنقًا على المتهم بقتل زوجته، منذ خمسة أعوام، بقرية كفر شحاتة التابعة لمركز كفر سعد في دمياط.</w:t>
      </w:r>
    </w:p>
    <w:p w14:paraId="3FC24EEC" w14:textId="4BA22E92" w:rsidR="00EB6EE8" w:rsidRDefault="00EB6EE8">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27E16DBC" w14:textId="0E3B7ED8" w:rsidR="000F4F1D" w:rsidRDefault="000F4F1D">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1B7DEB21" w14:textId="48B20F7A" w:rsidR="000F4F1D" w:rsidRDefault="000F4F1D">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7208A7E4" w14:textId="511DB73C" w:rsidR="000F4F1D" w:rsidRDefault="000F4F1D">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7C0B57BA" w14:textId="5A318017" w:rsidR="000F4F1D" w:rsidRDefault="000F4F1D">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tl/>
        </w:rPr>
      </w:pPr>
    </w:p>
    <w:p w14:paraId="380BE692" w14:textId="77777777" w:rsidR="000F4F1D" w:rsidRPr="00ED1793" w:rsidRDefault="000F4F1D">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0"/>
          <w:sz w:val="28"/>
          <w:szCs w:val="28"/>
        </w:rPr>
      </w:pPr>
    </w:p>
    <w:p w14:paraId="1C5A93CC" w14:textId="2B904965" w:rsidR="00EB6EE8" w:rsidRPr="000F4F1D" w:rsidRDefault="001C2DB7" w:rsidP="000F4F1D">
      <w:pPr>
        <w:widowControl w:val="0"/>
        <w:pBdr>
          <w:top w:val="nil"/>
          <w:left w:val="nil"/>
          <w:bottom w:val="nil"/>
          <w:right w:val="nil"/>
          <w:between w:val="nil"/>
        </w:pBdr>
        <w:tabs>
          <w:tab w:val="left" w:pos="709"/>
        </w:tabs>
        <w:spacing w:after="120" w:line="240" w:lineRule="auto"/>
        <w:ind w:left="3" w:hanging="5"/>
        <w:jc w:val="center"/>
        <w:rPr>
          <w:rFonts w:ascii="TheSans" w:eastAsia="Times New Roman" w:hAnsi="TheSans" w:cs="TheSans"/>
          <w:b/>
          <w:bCs/>
          <w:color w:val="31849B" w:themeColor="accent5" w:themeShade="BF"/>
          <w:sz w:val="52"/>
          <w:szCs w:val="52"/>
        </w:rPr>
      </w:pPr>
      <w:r w:rsidRPr="000F4F1D">
        <w:rPr>
          <w:rFonts w:ascii="TheSans" w:eastAsia="Times New Roman" w:hAnsi="TheSans" w:cs="TheSans"/>
          <w:b/>
          <w:bCs/>
          <w:color w:val="31849B" w:themeColor="accent5" w:themeShade="BF"/>
          <w:sz w:val="52"/>
          <w:szCs w:val="52"/>
          <w:rtl/>
        </w:rPr>
        <w:t>ثالثا: الاعتداء على حرية التعبير والحريات الإعلامية</w:t>
      </w:r>
    </w:p>
    <w:p w14:paraId="59E4A757" w14:textId="77777777" w:rsidR="00EB6EE8" w:rsidRPr="00ED1793" w:rsidRDefault="001C2DB7" w:rsidP="000F4F1D">
      <w:pPr>
        <w:widowControl w:val="0"/>
        <w:pBdr>
          <w:top w:val="nil"/>
          <w:left w:val="nil"/>
          <w:bottom w:val="nil"/>
          <w:right w:val="nil"/>
          <w:between w:val="nil"/>
        </w:pBdr>
        <w:tabs>
          <w:tab w:val="left" w:pos="709"/>
        </w:tabs>
        <w:spacing w:after="120" w:line="240" w:lineRule="auto"/>
        <w:ind w:left="1" w:hanging="3"/>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شهد الربع الثالث من العام 35 انتهاكاً متنوعا ضد حرية التعبير والحريات الإعلامية.</w:t>
      </w:r>
    </w:p>
    <w:p w14:paraId="33F49138"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center"/>
        <w:rPr>
          <w:rFonts w:ascii="TheSans" w:eastAsia="Times New Roman" w:hAnsi="TheSans" w:cs="TheSans"/>
          <w:color w:val="000000"/>
          <w:sz w:val="28"/>
          <w:szCs w:val="28"/>
          <w:u w:val="single"/>
        </w:rPr>
      </w:pPr>
      <w:r w:rsidRPr="00ED1793">
        <w:rPr>
          <w:rFonts w:ascii="TheSans" w:eastAsia="Times New Roman" w:hAnsi="TheSans" w:cs="TheSans"/>
          <w:color w:val="000000"/>
          <w:sz w:val="28"/>
          <w:szCs w:val="28"/>
          <w:u w:val="single"/>
          <w:rtl/>
        </w:rPr>
        <w:t>والجدول التالي يبين عدد الانتهاك على مدار شهور الربع الثالث من العام</w:t>
      </w:r>
    </w:p>
    <w:tbl>
      <w:tblPr>
        <w:tblStyle w:val="3"/>
        <w:bidiVisual/>
        <w:tblW w:w="69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05"/>
        <w:gridCol w:w="4140"/>
      </w:tblGrid>
      <w:tr w:rsidR="00EB6EE8" w:rsidRPr="00ED1793" w14:paraId="233AAB55" w14:textId="77777777">
        <w:trPr>
          <w:jc w:val="center"/>
        </w:trPr>
        <w:tc>
          <w:tcPr>
            <w:tcW w:w="2805" w:type="dxa"/>
            <w:tcMar>
              <w:top w:w="100" w:type="dxa"/>
              <w:left w:w="100" w:type="dxa"/>
              <w:bottom w:w="100" w:type="dxa"/>
              <w:right w:w="100" w:type="dxa"/>
            </w:tcMar>
          </w:tcPr>
          <w:p w14:paraId="4873D84D"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الشهور</w:t>
            </w:r>
          </w:p>
        </w:tc>
        <w:tc>
          <w:tcPr>
            <w:tcW w:w="4140" w:type="dxa"/>
          </w:tcPr>
          <w:p w14:paraId="1F3DDC57"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عدد الانتهاكات</w:t>
            </w:r>
          </w:p>
        </w:tc>
      </w:tr>
      <w:tr w:rsidR="00EB6EE8" w:rsidRPr="00ED1793" w14:paraId="15AB5719" w14:textId="77777777">
        <w:trPr>
          <w:jc w:val="center"/>
        </w:trPr>
        <w:tc>
          <w:tcPr>
            <w:tcW w:w="2805" w:type="dxa"/>
            <w:tcMar>
              <w:top w:w="100" w:type="dxa"/>
              <w:left w:w="100" w:type="dxa"/>
              <w:bottom w:w="100" w:type="dxa"/>
              <w:right w:w="100" w:type="dxa"/>
            </w:tcMar>
          </w:tcPr>
          <w:p w14:paraId="1CCB986C"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يوليو</w:t>
            </w:r>
          </w:p>
        </w:tc>
        <w:tc>
          <w:tcPr>
            <w:tcW w:w="4140" w:type="dxa"/>
          </w:tcPr>
          <w:p w14:paraId="49A33815" w14:textId="77777777" w:rsidR="00EB6EE8" w:rsidRPr="00ED1793" w:rsidRDefault="001C2DB7">
            <w:pPr>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13</w:t>
            </w:r>
          </w:p>
        </w:tc>
      </w:tr>
      <w:tr w:rsidR="00EB6EE8" w:rsidRPr="00ED1793" w14:paraId="46461FEE" w14:textId="77777777">
        <w:trPr>
          <w:jc w:val="center"/>
        </w:trPr>
        <w:tc>
          <w:tcPr>
            <w:tcW w:w="2805" w:type="dxa"/>
            <w:tcMar>
              <w:top w:w="100" w:type="dxa"/>
              <w:left w:w="100" w:type="dxa"/>
              <w:bottom w:w="100" w:type="dxa"/>
              <w:right w:w="100" w:type="dxa"/>
            </w:tcMar>
          </w:tcPr>
          <w:p w14:paraId="693908E9"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أغسطس</w:t>
            </w:r>
          </w:p>
        </w:tc>
        <w:tc>
          <w:tcPr>
            <w:tcW w:w="4140" w:type="dxa"/>
          </w:tcPr>
          <w:p w14:paraId="4C17C0A4"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10</w:t>
            </w:r>
          </w:p>
        </w:tc>
      </w:tr>
      <w:tr w:rsidR="00EB6EE8" w:rsidRPr="00ED1793" w14:paraId="2A905232" w14:textId="77777777">
        <w:trPr>
          <w:jc w:val="center"/>
        </w:trPr>
        <w:tc>
          <w:tcPr>
            <w:tcW w:w="2805" w:type="dxa"/>
            <w:tcMar>
              <w:top w:w="100" w:type="dxa"/>
              <w:left w:w="100" w:type="dxa"/>
              <w:bottom w:w="100" w:type="dxa"/>
              <w:right w:w="100" w:type="dxa"/>
            </w:tcMar>
          </w:tcPr>
          <w:p w14:paraId="0B43CAD3"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سبتمبر</w:t>
            </w:r>
          </w:p>
        </w:tc>
        <w:tc>
          <w:tcPr>
            <w:tcW w:w="4140" w:type="dxa"/>
          </w:tcPr>
          <w:p w14:paraId="42C8C091"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12</w:t>
            </w:r>
          </w:p>
        </w:tc>
      </w:tr>
      <w:tr w:rsidR="00EB6EE8" w:rsidRPr="00ED1793" w14:paraId="5F944C0A" w14:textId="77777777">
        <w:trPr>
          <w:jc w:val="center"/>
        </w:trPr>
        <w:tc>
          <w:tcPr>
            <w:tcW w:w="2805" w:type="dxa"/>
            <w:tcMar>
              <w:top w:w="100" w:type="dxa"/>
              <w:left w:w="100" w:type="dxa"/>
              <w:bottom w:w="100" w:type="dxa"/>
              <w:right w:w="100" w:type="dxa"/>
            </w:tcMar>
          </w:tcPr>
          <w:p w14:paraId="7DAE01A1" w14:textId="77777777" w:rsidR="00EB6EE8" w:rsidRPr="006535FB"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b/>
                <w:bCs/>
                <w:color w:val="FF0000"/>
                <w:sz w:val="28"/>
                <w:szCs w:val="28"/>
              </w:rPr>
            </w:pPr>
            <w:r w:rsidRPr="006535FB">
              <w:rPr>
                <w:rFonts w:ascii="TheSans" w:eastAsia="Times New Roman" w:hAnsi="TheSans" w:cs="TheSans"/>
                <w:b/>
                <w:bCs/>
                <w:color w:val="FF0000"/>
                <w:sz w:val="28"/>
                <w:szCs w:val="28"/>
                <w:rtl/>
              </w:rPr>
              <w:t>الإجمالي خلال الربع الثالث من العام</w:t>
            </w:r>
          </w:p>
        </w:tc>
        <w:tc>
          <w:tcPr>
            <w:tcW w:w="4140" w:type="dxa"/>
          </w:tcPr>
          <w:p w14:paraId="178189E8" w14:textId="77777777" w:rsidR="00EB6EE8" w:rsidRPr="006535FB"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b/>
                <w:bCs/>
                <w:color w:val="FF0000"/>
                <w:sz w:val="28"/>
                <w:szCs w:val="28"/>
              </w:rPr>
            </w:pPr>
            <w:r w:rsidRPr="006535FB">
              <w:rPr>
                <w:rFonts w:ascii="TheSans" w:eastAsia="Times New Roman" w:hAnsi="TheSans" w:cs="TheSans"/>
                <w:b/>
                <w:bCs/>
                <w:color w:val="FF0000"/>
                <w:sz w:val="28"/>
                <w:szCs w:val="28"/>
              </w:rPr>
              <w:t>35</w:t>
            </w:r>
          </w:p>
        </w:tc>
      </w:tr>
    </w:tbl>
    <w:p w14:paraId="573615C4" w14:textId="304A3037" w:rsidR="00EB6EE8" w:rsidRDefault="00EB6EE8">
      <w:pPr>
        <w:widowControl w:val="0"/>
        <w:pBdr>
          <w:top w:val="nil"/>
          <w:left w:val="nil"/>
          <w:bottom w:val="nil"/>
          <w:right w:val="nil"/>
          <w:between w:val="nil"/>
        </w:pBdr>
        <w:tabs>
          <w:tab w:val="left" w:pos="709"/>
        </w:tabs>
        <w:spacing w:after="120" w:line="240" w:lineRule="auto"/>
        <w:ind w:left="1" w:hanging="3"/>
        <w:rPr>
          <w:rFonts w:ascii="TheSans" w:eastAsia="Times New Roman" w:hAnsi="TheSans" w:cs="TheSans"/>
          <w:color w:val="000000"/>
          <w:sz w:val="28"/>
          <w:szCs w:val="28"/>
          <w:u w:val="single"/>
          <w:rtl/>
          <w:lang w:bidi="ar-EG"/>
        </w:rPr>
      </w:pPr>
    </w:p>
    <w:p w14:paraId="2928716B" w14:textId="0F93DBA2" w:rsidR="006535FB" w:rsidRDefault="006535FB">
      <w:pPr>
        <w:widowControl w:val="0"/>
        <w:pBdr>
          <w:top w:val="nil"/>
          <w:left w:val="nil"/>
          <w:bottom w:val="nil"/>
          <w:right w:val="nil"/>
          <w:between w:val="nil"/>
        </w:pBdr>
        <w:tabs>
          <w:tab w:val="left" w:pos="709"/>
        </w:tabs>
        <w:spacing w:after="120" w:line="240" w:lineRule="auto"/>
        <w:ind w:left="1" w:hanging="3"/>
        <w:rPr>
          <w:rFonts w:ascii="TheSans" w:eastAsia="Times New Roman" w:hAnsi="TheSans" w:cs="TheSans"/>
          <w:color w:val="000000"/>
          <w:sz w:val="28"/>
          <w:szCs w:val="28"/>
          <w:u w:val="single"/>
          <w:rtl/>
          <w:lang w:bidi="ar-EG"/>
        </w:rPr>
      </w:pPr>
    </w:p>
    <w:p w14:paraId="365D8D73" w14:textId="3E084613" w:rsidR="006535FB" w:rsidRDefault="006535FB">
      <w:pPr>
        <w:widowControl w:val="0"/>
        <w:pBdr>
          <w:top w:val="nil"/>
          <w:left w:val="nil"/>
          <w:bottom w:val="nil"/>
          <w:right w:val="nil"/>
          <w:between w:val="nil"/>
        </w:pBdr>
        <w:tabs>
          <w:tab w:val="left" w:pos="709"/>
        </w:tabs>
        <w:spacing w:after="120" w:line="240" w:lineRule="auto"/>
        <w:ind w:left="1" w:hanging="3"/>
        <w:rPr>
          <w:rFonts w:ascii="TheSans" w:eastAsia="Times New Roman" w:hAnsi="TheSans" w:cs="TheSans"/>
          <w:color w:val="000000"/>
          <w:sz w:val="28"/>
          <w:szCs w:val="28"/>
          <w:u w:val="single"/>
          <w:rtl/>
          <w:lang w:bidi="ar-EG"/>
        </w:rPr>
      </w:pPr>
    </w:p>
    <w:p w14:paraId="5E7523D0" w14:textId="4EEBC564" w:rsidR="006535FB" w:rsidRDefault="006535FB">
      <w:pPr>
        <w:widowControl w:val="0"/>
        <w:pBdr>
          <w:top w:val="nil"/>
          <w:left w:val="nil"/>
          <w:bottom w:val="nil"/>
          <w:right w:val="nil"/>
          <w:between w:val="nil"/>
        </w:pBdr>
        <w:tabs>
          <w:tab w:val="left" w:pos="709"/>
        </w:tabs>
        <w:spacing w:after="120" w:line="240" w:lineRule="auto"/>
        <w:ind w:left="1" w:hanging="3"/>
        <w:rPr>
          <w:rFonts w:ascii="TheSans" w:eastAsia="Times New Roman" w:hAnsi="TheSans" w:cs="TheSans"/>
          <w:color w:val="000000"/>
          <w:sz w:val="28"/>
          <w:szCs w:val="28"/>
          <w:u w:val="single"/>
          <w:rtl/>
          <w:lang w:bidi="ar-EG"/>
        </w:rPr>
      </w:pPr>
    </w:p>
    <w:p w14:paraId="46007D92" w14:textId="77777777" w:rsidR="006535FB" w:rsidRPr="00ED1793" w:rsidRDefault="006535FB">
      <w:pPr>
        <w:widowControl w:val="0"/>
        <w:pBdr>
          <w:top w:val="nil"/>
          <w:left w:val="nil"/>
          <w:bottom w:val="nil"/>
          <w:right w:val="nil"/>
          <w:between w:val="nil"/>
        </w:pBdr>
        <w:tabs>
          <w:tab w:val="left" w:pos="709"/>
        </w:tabs>
        <w:spacing w:after="120" w:line="240" w:lineRule="auto"/>
        <w:ind w:left="1" w:hanging="3"/>
        <w:rPr>
          <w:rFonts w:ascii="TheSans" w:eastAsia="Times New Roman" w:hAnsi="TheSans" w:cs="TheSans" w:hint="cs"/>
          <w:color w:val="000000"/>
          <w:sz w:val="28"/>
          <w:szCs w:val="28"/>
          <w:u w:val="single"/>
          <w:lang w:bidi="ar-EG"/>
        </w:rPr>
      </w:pPr>
    </w:p>
    <w:p w14:paraId="50EDDCE4" w14:textId="77777777" w:rsidR="00EB6EE8" w:rsidRPr="00ED1793" w:rsidRDefault="001C2DB7">
      <w:pPr>
        <w:widowControl w:val="0"/>
        <w:pBdr>
          <w:top w:val="nil"/>
          <w:left w:val="nil"/>
          <w:bottom w:val="nil"/>
          <w:right w:val="nil"/>
          <w:between w:val="nil"/>
        </w:pBdr>
        <w:tabs>
          <w:tab w:val="left" w:pos="709"/>
        </w:tabs>
        <w:spacing w:after="120"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b/>
          <w:color w:val="000000"/>
          <w:sz w:val="28"/>
          <w:szCs w:val="28"/>
          <w:u w:val="single"/>
          <w:rtl/>
        </w:rPr>
        <w:lastRenderedPageBreak/>
        <w:t>وتفاصيلهم في الجدول التالي:</w:t>
      </w:r>
    </w:p>
    <w:tbl>
      <w:tblPr>
        <w:tblStyle w:val="2"/>
        <w:bidiVisual/>
        <w:tblW w:w="557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3735"/>
        <w:gridCol w:w="1843"/>
      </w:tblGrid>
      <w:tr w:rsidR="00EB6EE8" w:rsidRPr="00ED1793" w14:paraId="758FFD84" w14:textId="77777777">
        <w:trPr>
          <w:jc w:val="center"/>
        </w:trPr>
        <w:tc>
          <w:tcPr>
            <w:tcW w:w="3735" w:type="dxa"/>
            <w:tcMar>
              <w:top w:w="100" w:type="dxa"/>
              <w:left w:w="100" w:type="dxa"/>
              <w:bottom w:w="100" w:type="dxa"/>
              <w:right w:w="100" w:type="dxa"/>
            </w:tcMar>
          </w:tcPr>
          <w:p w14:paraId="503FE4C1"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التحقيقات وجلسات تجديد الحبس</w:t>
            </w:r>
          </w:p>
        </w:tc>
        <w:tc>
          <w:tcPr>
            <w:tcW w:w="1843" w:type="dxa"/>
          </w:tcPr>
          <w:p w14:paraId="3E37965B"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18</w:t>
            </w:r>
          </w:p>
        </w:tc>
      </w:tr>
      <w:tr w:rsidR="00EB6EE8" w:rsidRPr="00ED1793" w14:paraId="2504A910" w14:textId="77777777">
        <w:trPr>
          <w:jc w:val="center"/>
        </w:trPr>
        <w:tc>
          <w:tcPr>
            <w:tcW w:w="3735" w:type="dxa"/>
            <w:tcMar>
              <w:top w:w="100" w:type="dxa"/>
              <w:left w:w="100" w:type="dxa"/>
              <w:bottom w:w="100" w:type="dxa"/>
              <w:right w:w="100" w:type="dxa"/>
            </w:tcMar>
          </w:tcPr>
          <w:p w14:paraId="2FFDB6B4"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العقوبات الإدارية</w:t>
            </w:r>
          </w:p>
        </w:tc>
        <w:tc>
          <w:tcPr>
            <w:tcW w:w="1843" w:type="dxa"/>
          </w:tcPr>
          <w:p w14:paraId="3356D3B6"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5</w:t>
            </w:r>
          </w:p>
        </w:tc>
      </w:tr>
      <w:tr w:rsidR="00EB6EE8" w:rsidRPr="00ED1793" w14:paraId="1EB2857C" w14:textId="77777777">
        <w:trPr>
          <w:jc w:val="center"/>
        </w:trPr>
        <w:tc>
          <w:tcPr>
            <w:tcW w:w="3735" w:type="dxa"/>
            <w:tcMar>
              <w:top w:w="100" w:type="dxa"/>
              <w:left w:w="100" w:type="dxa"/>
              <w:bottom w:w="100" w:type="dxa"/>
              <w:right w:w="100" w:type="dxa"/>
            </w:tcMar>
          </w:tcPr>
          <w:p w14:paraId="3ED68A47"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المنع من التغطية</w:t>
            </w:r>
          </w:p>
        </w:tc>
        <w:tc>
          <w:tcPr>
            <w:tcW w:w="1843" w:type="dxa"/>
          </w:tcPr>
          <w:p w14:paraId="478399DD"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3</w:t>
            </w:r>
          </w:p>
        </w:tc>
      </w:tr>
      <w:tr w:rsidR="00EB6EE8" w:rsidRPr="00ED1793" w14:paraId="6EE3088A" w14:textId="77777777">
        <w:trPr>
          <w:jc w:val="center"/>
        </w:trPr>
        <w:tc>
          <w:tcPr>
            <w:tcW w:w="3735" w:type="dxa"/>
            <w:tcMar>
              <w:top w:w="100" w:type="dxa"/>
              <w:left w:w="100" w:type="dxa"/>
              <w:bottom w:w="100" w:type="dxa"/>
              <w:right w:w="100" w:type="dxa"/>
            </w:tcMar>
          </w:tcPr>
          <w:p w14:paraId="41B7A37D"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القبض والاحتجاز</w:t>
            </w:r>
          </w:p>
        </w:tc>
        <w:tc>
          <w:tcPr>
            <w:tcW w:w="1843" w:type="dxa"/>
          </w:tcPr>
          <w:p w14:paraId="3D07CA27"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3</w:t>
            </w:r>
          </w:p>
        </w:tc>
      </w:tr>
      <w:tr w:rsidR="00EB6EE8" w:rsidRPr="00ED1793" w14:paraId="054B207E" w14:textId="77777777">
        <w:trPr>
          <w:jc w:val="center"/>
        </w:trPr>
        <w:tc>
          <w:tcPr>
            <w:tcW w:w="3735" w:type="dxa"/>
            <w:tcMar>
              <w:top w:w="100" w:type="dxa"/>
              <w:left w:w="100" w:type="dxa"/>
              <w:bottom w:w="100" w:type="dxa"/>
              <w:right w:w="100" w:type="dxa"/>
            </w:tcMar>
          </w:tcPr>
          <w:p w14:paraId="16CB9630"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المنع من الظهور</w:t>
            </w:r>
          </w:p>
        </w:tc>
        <w:tc>
          <w:tcPr>
            <w:tcW w:w="1843" w:type="dxa"/>
          </w:tcPr>
          <w:p w14:paraId="1B4D7340"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3</w:t>
            </w:r>
          </w:p>
        </w:tc>
      </w:tr>
      <w:tr w:rsidR="00EB6EE8" w:rsidRPr="00ED1793" w14:paraId="74859C2D" w14:textId="77777777">
        <w:trPr>
          <w:jc w:val="center"/>
        </w:trPr>
        <w:tc>
          <w:tcPr>
            <w:tcW w:w="3735" w:type="dxa"/>
            <w:tcMar>
              <w:top w:w="100" w:type="dxa"/>
              <w:left w:w="100" w:type="dxa"/>
              <w:bottom w:w="100" w:type="dxa"/>
              <w:right w:w="100" w:type="dxa"/>
            </w:tcMar>
          </w:tcPr>
          <w:p w14:paraId="2E2A24C4"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إجراءات تأديبية</w:t>
            </w:r>
          </w:p>
        </w:tc>
        <w:tc>
          <w:tcPr>
            <w:tcW w:w="1843" w:type="dxa"/>
          </w:tcPr>
          <w:p w14:paraId="21D14660"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2</w:t>
            </w:r>
          </w:p>
        </w:tc>
      </w:tr>
      <w:tr w:rsidR="00EB6EE8" w:rsidRPr="00ED1793" w14:paraId="5328C1D6" w14:textId="77777777">
        <w:trPr>
          <w:jc w:val="center"/>
        </w:trPr>
        <w:tc>
          <w:tcPr>
            <w:tcW w:w="3735" w:type="dxa"/>
            <w:tcMar>
              <w:top w:w="100" w:type="dxa"/>
              <w:left w:w="100" w:type="dxa"/>
              <w:bottom w:w="100" w:type="dxa"/>
              <w:right w:w="100" w:type="dxa"/>
            </w:tcMar>
          </w:tcPr>
          <w:p w14:paraId="44C5593E"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الاعتداءات البدنية واللفظية</w:t>
            </w:r>
          </w:p>
        </w:tc>
        <w:tc>
          <w:tcPr>
            <w:tcW w:w="1843" w:type="dxa"/>
          </w:tcPr>
          <w:p w14:paraId="61FD72C4" w14:textId="77777777" w:rsidR="00EB6EE8" w:rsidRPr="00ED1793"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color w:val="000000"/>
                <w:sz w:val="28"/>
                <w:szCs w:val="28"/>
              </w:rPr>
            </w:pPr>
            <w:r w:rsidRPr="00ED1793">
              <w:rPr>
                <w:rFonts w:ascii="TheSans" w:eastAsia="Times New Roman" w:hAnsi="TheSans" w:cs="TheSans"/>
                <w:color w:val="000000"/>
                <w:sz w:val="28"/>
                <w:szCs w:val="28"/>
              </w:rPr>
              <w:t>1</w:t>
            </w:r>
          </w:p>
        </w:tc>
      </w:tr>
      <w:tr w:rsidR="00EB6EE8" w:rsidRPr="00ED1793" w14:paraId="66EEC626" w14:textId="77777777">
        <w:trPr>
          <w:jc w:val="center"/>
        </w:trPr>
        <w:tc>
          <w:tcPr>
            <w:tcW w:w="3735" w:type="dxa"/>
            <w:tcMar>
              <w:top w:w="100" w:type="dxa"/>
              <w:left w:w="100" w:type="dxa"/>
              <w:bottom w:w="100" w:type="dxa"/>
              <w:right w:w="100" w:type="dxa"/>
            </w:tcMar>
          </w:tcPr>
          <w:p w14:paraId="5DA11983" w14:textId="77777777" w:rsidR="00EB6EE8" w:rsidRPr="006535FB"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b/>
                <w:bCs/>
                <w:color w:val="FF0000"/>
                <w:sz w:val="28"/>
                <w:szCs w:val="28"/>
              </w:rPr>
            </w:pPr>
            <w:r w:rsidRPr="006535FB">
              <w:rPr>
                <w:rFonts w:ascii="TheSans" w:eastAsia="Times New Roman" w:hAnsi="TheSans" w:cs="TheSans"/>
                <w:b/>
                <w:bCs/>
                <w:color w:val="FF0000"/>
                <w:sz w:val="28"/>
                <w:szCs w:val="28"/>
                <w:rtl/>
              </w:rPr>
              <w:t xml:space="preserve">إجمالي الانتهاكات </w:t>
            </w:r>
          </w:p>
        </w:tc>
        <w:tc>
          <w:tcPr>
            <w:tcW w:w="1843" w:type="dxa"/>
          </w:tcPr>
          <w:p w14:paraId="085CB094" w14:textId="77777777" w:rsidR="00EB6EE8" w:rsidRPr="006535FB" w:rsidRDefault="001C2DB7">
            <w:pPr>
              <w:widowControl w:val="0"/>
              <w:pBdr>
                <w:top w:val="nil"/>
                <w:left w:val="nil"/>
                <w:bottom w:val="nil"/>
                <w:right w:val="nil"/>
                <w:between w:val="nil"/>
              </w:pBdr>
              <w:spacing w:line="240" w:lineRule="auto"/>
              <w:ind w:left="1" w:hanging="3"/>
              <w:jc w:val="center"/>
              <w:rPr>
                <w:rFonts w:ascii="TheSans" w:eastAsia="Times New Roman" w:hAnsi="TheSans" w:cs="TheSans"/>
                <w:b/>
                <w:bCs/>
                <w:color w:val="FF0000"/>
                <w:sz w:val="28"/>
                <w:szCs w:val="28"/>
              </w:rPr>
            </w:pPr>
            <w:r w:rsidRPr="006535FB">
              <w:rPr>
                <w:rFonts w:ascii="TheSans" w:eastAsia="Times New Roman" w:hAnsi="TheSans" w:cs="TheSans"/>
                <w:b/>
                <w:bCs/>
                <w:color w:val="FF0000"/>
                <w:sz w:val="28"/>
                <w:szCs w:val="28"/>
              </w:rPr>
              <w:t>35</w:t>
            </w:r>
          </w:p>
        </w:tc>
      </w:tr>
    </w:tbl>
    <w:p w14:paraId="71349C55" w14:textId="77777777" w:rsidR="00EB6EE8" w:rsidRPr="00ED1793" w:rsidRDefault="00EB6EE8">
      <w:pPr>
        <w:widowControl w:val="0"/>
        <w:pBdr>
          <w:top w:val="nil"/>
          <w:left w:val="nil"/>
          <w:bottom w:val="nil"/>
          <w:right w:val="nil"/>
          <w:between w:val="nil"/>
        </w:pBdr>
        <w:tabs>
          <w:tab w:val="left" w:pos="709"/>
        </w:tabs>
        <w:spacing w:after="120" w:line="240" w:lineRule="auto"/>
        <w:ind w:left="1" w:hanging="3"/>
        <w:jc w:val="center"/>
        <w:rPr>
          <w:rFonts w:ascii="TheSans" w:eastAsia="Times New Roman" w:hAnsi="TheSans" w:cs="TheSans"/>
          <w:color w:val="000000"/>
          <w:sz w:val="28"/>
          <w:szCs w:val="28"/>
        </w:rPr>
      </w:pPr>
    </w:p>
    <w:p w14:paraId="00D710F7" w14:textId="46CF1D5A" w:rsidR="00EB6EE8" w:rsidRPr="00ED1793" w:rsidRDefault="000F4F1D">
      <w:pPr>
        <w:widowControl w:val="0"/>
        <w:pBdr>
          <w:top w:val="nil"/>
          <w:left w:val="nil"/>
          <w:bottom w:val="nil"/>
          <w:right w:val="nil"/>
          <w:between w:val="nil"/>
        </w:pBdr>
        <w:tabs>
          <w:tab w:val="left" w:pos="709"/>
        </w:tabs>
        <w:spacing w:after="120" w:line="240" w:lineRule="auto"/>
        <w:ind w:left="1" w:hanging="3"/>
        <w:jc w:val="center"/>
        <w:rPr>
          <w:rFonts w:ascii="TheSans" w:eastAsia="Times New Roman" w:hAnsi="TheSans" w:cs="TheSans"/>
          <w:color w:val="000000"/>
          <w:sz w:val="28"/>
          <w:szCs w:val="28"/>
        </w:rPr>
      </w:pPr>
      <w:r>
        <w:rPr>
          <w:rFonts w:ascii="TheSans" w:eastAsia="Times New Roman" w:hAnsi="TheSans" w:cs="TheSans"/>
          <w:noProof/>
          <w:color w:val="000000"/>
          <w:sz w:val="28"/>
          <w:szCs w:val="28"/>
        </w:rPr>
        <w:lastRenderedPageBreak/>
        <w:drawing>
          <wp:inline distT="0" distB="0" distL="0" distR="0" wp14:anchorId="12A5D3D9" wp14:editId="3A62DBA6">
            <wp:extent cx="5393122" cy="68261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254" cy="6835129"/>
                    </a:xfrm>
                    <a:prstGeom prst="rect">
                      <a:avLst/>
                    </a:prstGeom>
                  </pic:spPr>
                </pic:pic>
              </a:graphicData>
            </a:graphic>
          </wp:inline>
        </w:drawing>
      </w:r>
    </w:p>
    <w:p w14:paraId="34A2F9F2" w14:textId="77777777" w:rsidR="006535FB" w:rsidRDefault="006535FB" w:rsidP="000F4F1D">
      <w:pPr>
        <w:widowControl w:val="0"/>
        <w:pBdr>
          <w:top w:val="nil"/>
          <w:left w:val="nil"/>
          <w:bottom w:val="nil"/>
          <w:right w:val="nil"/>
          <w:between w:val="nil"/>
        </w:pBdr>
        <w:tabs>
          <w:tab w:val="left" w:pos="709"/>
        </w:tabs>
        <w:spacing w:after="120" w:line="240" w:lineRule="auto"/>
        <w:ind w:left="3" w:hanging="5"/>
        <w:jc w:val="center"/>
        <w:rPr>
          <w:rFonts w:ascii="TheSans" w:eastAsia="Times New Roman" w:hAnsi="TheSans" w:cs="TheSans"/>
          <w:b/>
          <w:bCs/>
          <w:color w:val="31849B" w:themeColor="accent5" w:themeShade="BF"/>
          <w:sz w:val="52"/>
          <w:szCs w:val="52"/>
          <w:rtl/>
        </w:rPr>
      </w:pPr>
    </w:p>
    <w:p w14:paraId="30E66122" w14:textId="77777777" w:rsidR="006535FB" w:rsidRDefault="006535FB" w:rsidP="000F4F1D">
      <w:pPr>
        <w:widowControl w:val="0"/>
        <w:pBdr>
          <w:top w:val="nil"/>
          <w:left w:val="nil"/>
          <w:bottom w:val="nil"/>
          <w:right w:val="nil"/>
          <w:between w:val="nil"/>
        </w:pBdr>
        <w:tabs>
          <w:tab w:val="left" w:pos="709"/>
        </w:tabs>
        <w:spacing w:after="120" w:line="240" w:lineRule="auto"/>
        <w:ind w:left="3" w:hanging="5"/>
        <w:jc w:val="center"/>
        <w:rPr>
          <w:rFonts w:ascii="TheSans" w:eastAsia="Times New Roman" w:hAnsi="TheSans" w:cs="TheSans"/>
          <w:b/>
          <w:bCs/>
          <w:color w:val="31849B" w:themeColor="accent5" w:themeShade="BF"/>
          <w:sz w:val="52"/>
          <w:szCs w:val="52"/>
          <w:rtl/>
        </w:rPr>
      </w:pPr>
    </w:p>
    <w:p w14:paraId="55B272E6" w14:textId="6B5B8411" w:rsidR="00EB6EE8" w:rsidRPr="008A3604" w:rsidRDefault="001C2DB7" w:rsidP="000F4F1D">
      <w:pPr>
        <w:widowControl w:val="0"/>
        <w:pBdr>
          <w:top w:val="nil"/>
          <w:left w:val="nil"/>
          <w:bottom w:val="nil"/>
          <w:right w:val="nil"/>
          <w:between w:val="nil"/>
        </w:pBdr>
        <w:tabs>
          <w:tab w:val="left" w:pos="709"/>
        </w:tabs>
        <w:spacing w:after="120" w:line="240" w:lineRule="auto"/>
        <w:ind w:left="3" w:hanging="5"/>
        <w:jc w:val="center"/>
        <w:rPr>
          <w:rFonts w:ascii="TheSans" w:eastAsia="Times New Roman" w:hAnsi="TheSans" w:cs="TheSans"/>
          <w:b/>
          <w:bCs/>
          <w:color w:val="31849B" w:themeColor="accent5" w:themeShade="BF"/>
          <w:sz w:val="52"/>
          <w:szCs w:val="52"/>
        </w:rPr>
      </w:pPr>
      <w:r w:rsidRPr="008A3604">
        <w:rPr>
          <w:rFonts w:ascii="TheSans" w:eastAsia="Times New Roman" w:hAnsi="TheSans" w:cs="TheSans"/>
          <w:b/>
          <w:bCs/>
          <w:color w:val="31849B" w:themeColor="accent5" w:themeShade="BF"/>
          <w:sz w:val="52"/>
          <w:szCs w:val="52"/>
          <w:rtl/>
        </w:rPr>
        <w:lastRenderedPageBreak/>
        <w:t xml:space="preserve">رابعا: الاعتداء على المدافعون عن حقوق الإنسان </w:t>
      </w:r>
    </w:p>
    <w:p w14:paraId="39EED0FA" w14:textId="77777777" w:rsidR="00EB6EE8" w:rsidRPr="00ED1793" w:rsidRDefault="001C2DB7">
      <w:pPr>
        <w:widowControl w:val="0"/>
        <w:numPr>
          <w:ilvl w:val="0"/>
          <w:numId w:val="1"/>
        </w:numPr>
        <w:pBdr>
          <w:top w:val="nil"/>
          <w:left w:val="nil"/>
          <w:bottom w:val="nil"/>
          <w:right w:val="nil"/>
          <w:between w:val="nil"/>
        </w:pBdr>
        <w:spacing w:before="220"/>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بتاريخ 3 يوليو 2021 أجلت محكمة جنايات القاهرة نظر التظلم المقدم من الناشطة والصحفية اسراء عبد الفتاح على قرار منعها من السفر الصادر من قاضي التحقيق المنتدب من وزارة العدل في القضية المعروفة إعلاميا بقضية إغلاق المجتمع المدني.</w:t>
      </w:r>
    </w:p>
    <w:p w14:paraId="19D3C996" w14:textId="77777777" w:rsidR="00EB6EE8" w:rsidRPr="00ED1793" w:rsidRDefault="001C2DB7">
      <w:pPr>
        <w:widowControl w:val="0"/>
        <w:numPr>
          <w:ilvl w:val="0"/>
          <w:numId w:val="1"/>
        </w:numPr>
        <w:pBdr>
          <w:top w:val="nil"/>
          <w:left w:val="nil"/>
          <w:bottom w:val="nil"/>
          <w:right w:val="nil"/>
          <w:between w:val="nil"/>
        </w:pBdr>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بتاريخ 6 يوليو 2021 قررت محكمة جنايات القاهرة استمرار حبس كلا من المحامية الحقوقية ماهينور المصري والصحفية إسراء عبد الفتاح لمدة 45 يوما فى القضية رقم 488 لسنة 2019 حصر أمن دولة عليا والتي يواجهوا فيها تهم مشاركة جماعة ارهابية فى تحقيق اغراضها ونشر أخبار وبيانات كاذبة، وبتاريخ 18 يوليو 2021 قررت نيابة أمن الدولة العليا إخلاء سبيل الصحفية إسراء عبد الفتاح بضمان محل إقامتها فى القضية سالفة البيان والقضية رقم 855 لسنة 2020 حصر أمن دولة عليا والتي تواجه فيها ذات الاتهامات وتم تنفيذ القرار وإطلاق سراحها، وبتاريخ 19 يوليو 2021 قررت نيابة أمن الدولة العليا إخلاء سبيل المحامية الحقوقية ماهينور المصري بضمان محل إقامتها فى القضية سالفة البيان والقضية رقم 855 لسنة 2020 حصر أمن دولة عليا والتي تواجه فيها ذات الاتهامات وتم تنفيذ القرار وإطلاق سراحها.</w:t>
      </w:r>
    </w:p>
    <w:p w14:paraId="6CE92CE5" w14:textId="77777777" w:rsidR="00EB6EE8" w:rsidRPr="00ED1793" w:rsidRDefault="001C2DB7">
      <w:pPr>
        <w:widowControl w:val="0"/>
        <w:numPr>
          <w:ilvl w:val="0"/>
          <w:numId w:val="1"/>
        </w:numPr>
        <w:pBdr>
          <w:top w:val="nil"/>
          <w:left w:val="nil"/>
          <w:bottom w:val="nil"/>
          <w:right w:val="nil"/>
          <w:between w:val="nil"/>
        </w:pBdr>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بتاريخ 6 يوليو 2021 قررت محكمة جنايات القاهرة استمرار حبس المهندس يحيى حسين عبد الهادي لمدة 45 يوم في القضية رقم 277 لسنة 2019 حصر أمن دولة عليا والتي يواجه فيها تهم الانضمام الى جماعة إرهابية ونشر أخبار وبيانات كاذبة وإساءة استخدام وسيلة من وسائل التواصل الاجتماعي.</w:t>
      </w:r>
    </w:p>
    <w:p w14:paraId="486C503E" w14:textId="77777777" w:rsidR="00EB6EE8" w:rsidRPr="00ED1793" w:rsidRDefault="001C2DB7">
      <w:pPr>
        <w:widowControl w:val="0"/>
        <w:numPr>
          <w:ilvl w:val="0"/>
          <w:numId w:val="1"/>
        </w:numPr>
        <w:pBdr>
          <w:top w:val="nil"/>
          <w:left w:val="nil"/>
          <w:bottom w:val="nil"/>
          <w:right w:val="nil"/>
          <w:between w:val="nil"/>
        </w:pBdr>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lastRenderedPageBreak/>
        <w:t>بتاريخ 11 يوليو 2021 قررت محكمة جنايات القاهرة استمرار حبس المحامي الحقوقي عمرو إمام لمدة 45 يوم في القضية رقم 488 لسنة 2019 حصر أمن دولة والتي يواجه فيها تهم مشاركة جماعة ارهابية في تحقيق اغراضها ونشر أخبار وبيانات كاذبة.</w:t>
      </w:r>
    </w:p>
    <w:p w14:paraId="7E4F2885" w14:textId="77777777" w:rsidR="00EB6EE8" w:rsidRPr="00ED1793" w:rsidRDefault="001C2DB7">
      <w:pPr>
        <w:widowControl w:val="0"/>
        <w:numPr>
          <w:ilvl w:val="0"/>
          <w:numId w:val="1"/>
        </w:numPr>
        <w:pBdr>
          <w:top w:val="nil"/>
          <w:left w:val="nil"/>
          <w:bottom w:val="nil"/>
          <w:right w:val="nil"/>
          <w:between w:val="nil"/>
        </w:pBdr>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بتاريخ 11 يوليو 2021 قررت محكمة جنايات القاهرة أستمرار حبس المدون محمد أكسجين والناشط سامح سعودي لمدة 45 يوم في القضية رقم 855 لسنة 2020 حصر أمن دولة والتي يواجهوا فيها تهمة الانضمام الى جماعة ارهابية.</w:t>
      </w:r>
    </w:p>
    <w:p w14:paraId="3DD279E4" w14:textId="77777777" w:rsidR="00EB6EE8" w:rsidRPr="00ED1793" w:rsidRDefault="001C2DB7">
      <w:pPr>
        <w:widowControl w:val="0"/>
        <w:numPr>
          <w:ilvl w:val="0"/>
          <w:numId w:val="1"/>
        </w:numPr>
        <w:pBdr>
          <w:top w:val="nil"/>
          <w:left w:val="nil"/>
          <w:bottom w:val="nil"/>
          <w:right w:val="nil"/>
          <w:between w:val="nil"/>
        </w:pBdr>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بتاريخ 11 يوليو 2021 قررت محكمة جنايات القاهرة استمرار حبس المحامي الحقوقي زياد العليمي والصحفيين هشام فؤاد وحسام مؤنس- عقب تجاوزه الحد الاقصى للحبس الاحتياطي - لمدة 45 يوم  في القضية رقم 930 لسنة 2019 حصر أمن دولة بتهم مشاركة جماعة إرهابية في تحقيق أغراضها ونشر أخبار وبيانات كاذبة.</w:t>
      </w:r>
    </w:p>
    <w:p w14:paraId="4E9AF82B" w14:textId="77777777" w:rsidR="00EB6EE8" w:rsidRPr="00ED1793" w:rsidRDefault="001C2DB7">
      <w:pPr>
        <w:widowControl w:val="0"/>
        <w:numPr>
          <w:ilvl w:val="0"/>
          <w:numId w:val="1"/>
        </w:numPr>
        <w:pBdr>
          <w:top w:val="nil"/>
          <w:left w:val="nil"/>
          <w:bottom w:val="nil"/>
          <w:right w:val="nil"/>
          <w:between w:val="nil"/>
        </w:pBdr>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بتاريخ 13 يوليو 2021 قررت محكمة جنايات القاهرة تجديد حبس الباحثة والصحفية شيماء سامي لمدة 45 يوم في القضية رقم 65 لسنة 2021 حصر أمن دولة والتي تواجه بها تهم الانضمام الى جماعة ارهابية ونشر أخبار وبيانات كاذبة. بتاريخ 29 أغسطس 2021 أطلقت قوات الأمن سراح الباحثة والصحفية شيماء سامي عقب قرار نيابة أمن الدولة بإخلاء سبيلها بضمان محل إقامتها فى القضية</w:t>
      </w:r>
    </w:p>
    <w:p w14:paraId="2A2F6962" w14:textId="77777777" w:rsidR="00EB6EE8" w:rsidRPr="00ED1793" w:rsidRDefault="001C2DB7">
      <w:pPr>
        <w:widowControl w:val="0"/>
        <w:numPr>
          <w:ilvl w:val="0"/>
          <w:numId w:val="1"/>
        </w:numPr>
        <w:pBdr>
          <w:top w:val="nil"/>
          <w:left w:val="nil"/>
          <w:bottom w:val="nil"/>
          <w:right w:val="nil"/>
          <w:between w:val="nil"/>
        </w:pBdr>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بتاريخ 15 يوليو 2021 قررت محكمة جنح أمن دولة مصر القديمة تأجيل أولى جلسات محاكمة المحامي الحقوقي زياد العليمي والصحفيين هشام فؤاد وحسام مؤنس في القضية رقم 9170 لسنة 2021 جنح أمن دولة مصر القديمة المنسوخة من القضية رقم 930 لسنة 2019 حصر أمن دولة عليا والتي يواجهوا فيها تهمة نشر وبث أخبار وبيانات كاذبة.</w:t>
      </w:r>
    </w:p>
    <w:p w14:paraId="77EA8D52" w14:textId="77777777" w:rsidR="00EB6EE8" w:rsidRPr="00ED1793" w:rsidRDefault="001C2DB7">
      <w:pPr>
        <w:widowControl w:val="0"/>
        <w:numPr>
          <w:ilvl w:val="0"/>
          <w:numId w:val="1"/>
        </w:numPr>
        <w:pBdr>
          <w:top w:val="nil"/>
          <w:left w:val="nil"/>
          <w:bottom w:val="nil"/>
          <w:right w:val="nil"/>
          <w:between w:val="nil"/>
        </w:pBdr>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 xml:space="preserve">بتاريخ 29 أغسطس 2021 قررت محكمة جنايات القاهرة تجديد حبس المصحح </w:t>
      </w:r>
      <w:r w:rsidRPr="00ED1793">
        <w:rPr>
          <w:rFonts w:ascii="TheSans" w:eastAsia="Times New Roman" w:hAnsi="TheSans" w:cs="TheSans"/>
          <w:color w:val="000000"/>
          <w:sz w:val="28"/>
          <w:szCs w:val="28"/>
          <w:rtl/>
        </w:rPr>
        <w:lastRenderedPageBreak/>
        <w:t>اللغوي والناشط الحقوقي أيمن عبد المعطي لمدة 45 يوم في القضية رقم 880 لسنة 2020 حصر أمن دولة والتي يواجه فيها تهم الانضمام الى جماعة ارهابية ونشر أخبار وبيانات كاذبة والتحريض على التظاهر دون إخطار الجهات الامنية.</w:t>
      </w:r>
    </w:p>
    <w:p w14:paraId="7C3C6FE2" w14:textId="77777777" w:rsidR="00EB6EE8" w:rsidRPr="00ED1793" w:rsidRDefault="001C2DB7">
      <w:pPr>
        <w:widowControl w:val="0"/>
        <w:numPr>
          <w:ilvl w:val="0"/>
          <w:numId w:val="1"/>
        </w:numPr>
        <w:pBdr>
          <w:top w:val="nil"/>
          <w:left w:val="nil"/>
          <w:bottom w:val="nil"/>
          <w:right w:val="nil"/>
          <w:between w:val="nil"/>
        </w:pBdr>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بتاريخ 30 أغسطس 2021 قررت محكمة جنايات القاهرة تجديد حبس الطبيب والناشط وليد شوقي لمدة 45 يوم في القضية رقم  880 لسنة 2020 حصر أمن دولة والتي يواجه فيها تهم الانضمام الى جماعة ارهابية ونشر أخبار وبيانات كاذبة والتحريض على التظاهر دون إخطار الجهات الامنية.</w:t>
      </w:r>
    </w:p>
    <w:p w14:paraId="359D1CED" w14:textId="77777777" w:rsidR="00EB6EE8" w:rsidRPr="00ED1793" w:rsidRDefault="001C2DB7">
      <w:pPr>
        <w:widowControl w:val="0"/>
        <w:numPr>
          <w:ilvl w:val="0"/>
          <w:numId w:val="1"/>
        </w:numPr>
        <w:pBdr>
          <w:top w:val="nil"/>
          <w:left w:val="nil"/>
          <w:bottom w:val="nil"/>
          <w:right w:val="nil"/>
          <w:between w:val="nil"/>
        </w:pBdr>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بتاريخ 30 أغسطس 2021 قرر قاض التحقيق المنتدب من محكمة استئناف القاهرة حفظ التحقيقات مع المحامي الحقوقي نجاد البرعي والمحامية الحقوقية عزة سليمان و الناشطة والصحفية اسراء عبد الفتاح في القضية رقم 173 لسنة 2011 حصر قضاة تحقيق والمعروفة إعلاميا بقضية إغلاق المجتمع المدني.</w:t>
      </w:r>
    </w:p>
    <w:p w14:paraId="676B7242" w14:textId="77777777" w:rsidR="00EB6EE8" w:rsidRPr="00ED1793" w:rsidRDefault="001C2DB7">
      <w:pPr>
        <w:widowControl w:val="0"/>
        <w:numPr>
          <w:ilvl w:val="0"/>
          <w:numId w:val="1"/>
        </w:numPr>
        <w:pBdr>
          <w:top w:val="nil"/>
          <w:left w:val="nil"/>
          <w:bottom w:val="nil"/>
          <w:right w:val="nil"/>
          <w:between w:val="nil"/>
        </w:pBdr>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بتاريخ 7 سبتمبر 2021 قررت محكمة جنايات القاهرة تجديد حبس القيادي العمالي رشاد كمال لمدة 45 يوم في القضية رقم 1056 لسنة 2020 حصر أمن دولة بتهمة الانضمام الى جماعة ارهابية مع العلم بأغراضها ونشر أخبار وبيانات كاذبة.</w:t>
      </w:r>
    </w:p>
    <w:p w14:paraId="200B36BB" w14:textId="77777777" w:rsidR="00EB6EE8" w:rsidRPr="00ED1793" w:rsidRDefault="001C2DB7">
      <w:pPr>
        <w:widowControl w:val="0"/>
        <w:numPr>
          <w:ilvl w:val="0"/>
          <w:numId w:val="1"/>
        </w:numPr>
        <w:pBdr>
          <w:top w:val="nil"/>
          <w:left w:val="nil"/>
          <w:bottom w:val="nil"/>
          <w:right w:val="nil"/>
          <w:between w:val="nil"/>
        </w:pBdr>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بتاريخ 11 سبتمبر 2021 قررت محكمة جنايات القاهرة تأجيل أولى جلسات محاكمة المحامية الحقوقية والعضو الاسبق بالمجلس القومي لحقوق الإنسان هدي عبد المنعم في القضية رقم 1552 لسنة 2018 أمن دولة عليا بتهم الانضمام الى جماعة إرهابية مع العلم بأغراضها وتمويلها.</w:t>
      </w:r>
    </w:p>
    <w:p w14:paraId="693F54DC" w14:textId="77777777" w:rsidR="00EB6EE8" w:rsidRPr="00ED1793" w:rsidRDefault="001C2DB7">
      <w:pPr>
        <w:widowControl w:val="0"/>
        <w:numPr>
          <w:ilvl w:val="0"/>
          <w:numId w:val="1"/>
        </w:numPr>
        <w:pBdr>
          <w:top w:val="nil"/>
          <w:left w:val="nil"/>
          <w:bottom w:val="nil"/>
          <w:right w:val="nil"/>
          <w:between w:val="nil"/>
        </w:pBdr>
        <w:ind w:left="1" w:hanging="3"/>
        <w:jc w:val="both"/>
        <w:rPr>
          <w:rFonts w:ascii="TheSans" w:eastAsia="Times New Roman" w:hAnsi="TheSans" w:cs="TheSans"/>
          <w:color w:val="000000"/>
          <w:sz w:val="28"/>
          <w:szCs w:val="28"/>
        </w:rPr>
      </w:pPr>
      <w:r w:rsidRPr="00ED1793">
        <w:rPr>
          <w:rFonts w:ascii="TheSans" w:eastAsia="Times New Roman" w:hAnsi="TheSans" w:cs="TheSans"/>
          <w:color w:val="000000"/>
          <w:sz w:val="28"/>
          <w:szCs w:val="28"/>
          <w:rtl/>
        </w:rPr>
        <w:t xml:space="preserve">بتاريخ 20 سبتمبر 2021 أصدر قاضي التحقيق المنتدب من محكمة استئناف القاهرة أمرا بألا وجه لإقامة الدعوى الجنائية لعدم كفاية الأدلة في حق مركز أندلس لدراسات التسامح ومناهضة العنف ومركز دار المستقبل الجديد للدراسات </w:t>
      </w:r>
      <w:r w:rsidRPr="00ED1793">
        <w:rPr>
          <w:rFonts w:ascii="TheSans" w:eastAsia="Times New Roman" w:hAnsi="TheSans" w:cs="TheSans"/>
          <w:color w:val="000000"/>
          <w:sz w:val="28"/>
          <w:szCs w:val="28"/>
          <w:rtl/>
        </w:rPr>
        <w:lastRenderedPageBreak/>
        <w:t>الحقوقية والقانونية وجمعية التنمية الإنسانية بالمنصورة والمركز المصري للحقوق الاقتصادية والاجتماعية في القضية المعروفة إعلاميا بقضية إغلاق المجتمع المدني.</w:t>
      </w:r>
    </w:p>
    <w:p w14:paraId="3DA76D37" w14:textId="52177A44" w:rsidR="00EB6EE8" w:rsidRDefault="001C2DB7">
      <w:pPr>
        <w:widowControl w:val="0"/>
        <w:numPr>
          <w:ilvl w:val="0"/>
          <w:numId w:val="1"/>
        </w:numPr>
        <w:pBdr>
          <w:top w:val="nil"/>
          <w:left w:val="nil"/>
          <w:bottom w:val="nil"/>
          <w:right w:val="nil"/>
          <w:between w:val="nil"/>
        </w:pBdr>
        <w:spacing w:before="220"/>
        <w:ind w:left="1" w:hanging="3"/>
        <w:jc w:val="both"/>
        <w:rPr>
          <w:rFonts w:ascii="TheSans" w:eastAsia="Times New Roman" w:hAnsi="TheSans" w:cs="TheSans"/>
          <w:color w:val="000000"/>
          <w:sz w:val="28"/>
          <w:szCs w:val="28"/>
        </w:rPr>
      </w:pPr>
      <w:r w:rsidRPr="00ED1793">
        <w:rPr>
          <w:rFonts w:ascii="TheSans" w:eastAsia="Times New Roman" w:hAnsi="TheSans" w:cs="TheSans"/>
          <w:color w:val="00000A"/>
          <w:sz w:val="28"/>
          <w:szCs w:val="28"/>
          <w:rtl/>
        </w:rPr>
        <w:t>بتاريخ 26 سبتمبر 2021 قررت المحكمة الادارية العليا تأجيل الطعن رقم 33178 لسنة 67 قضائية المقام من المحامي الحقوقي والمدير التنفيذي للشبكة العربية لمعلومات حقوق الإنسان على القرار الصادر من قاضي التحقيق بمنعه من السفر في القضية المعروفة إعلاميا بقضية إغلاق المجتمع المدني لجلسة 1 نوفمبر 2021 لاستخراج صورة من قرار المنع من السفر.</w:t>
      </w:r>
    </w:p>
    <w:p w14:paraId="69BA6575" w14:textId="2ED339C8" w:rsidR="00614315" w:rsidRDefault="00614315" w:rsidP="00614315">
      <w:pPr>
        <w:widowControl w:val="0"/>
        <w:pBdr>
          <w:top w:val="nil"/>
          <w:left w:val="nil"/>
          <w:bottom w:val="nil"/>
          <w:right w:val="nil"/>
          <w:between w:val="nil"/>
        </w:pBdr>
        <w:spacing w:before="220"/>
        <w:ind w:leftChars="0" w:left="0" w:firstLineChars="0" w:firstLine="0"/>
        <w:jc w:val="both"/>
        <w:rPr>
          <w:rFonts w:ascii="TheSans" w:eastAsia="Times New Roman" w:hAnsi="TheSans" w:cs="TheSans"/>
          <w:color w:val="000000"/>
          <w:sz w:val="28"/>
          <w:szCs w:val="28"/>
          <w:rtl/>
        </w:rPr>
      </w:pPr>
    </w:p>
    <w:p w14:paraId="785C864B" w14:textId="1098E6E2" w:rsidR="00614315" w:rsidRDefault="00614315" w:rsidP="00614315">
      <w:pPr>
        <w:widowControl w:val="0"/>
        <w:pBdr>
          <w:top w:val="nil"/>
          <w:left w:val="nil"/>
          <w:bottom w:val="nil"/>
          <w:right w:val="nil"/>
          <w:between w:val="nil"/>
        </w:pBdr>
        <w:spacing w:before="220"/>
        <w:ind w:leftChars="0" w:left="0" w:firstLineChars="0" w:firstLine="0"/>
        <w:jc w:val="both"/>
        <w:rPr>
          <w:rFonts w:ascii="TheSans" w:eastAsia="Times New Roman" w:hAnsi="TheSans" w:cs="TheSans"/>
          <w:color w:val="000000"/>
          <w:sz w:val="28"/>
          <w:szCs w:val="28"/>
          <w:rtl/>
        </w:rPr>
      </w:pPr>
    </w:p>
    <w:p w14:paraId="54DE147D" w14:textId="66C4D593" w:rsidR="00614315" w:rsidRDefault="00614315" w:rsidP="00614315">
      <w:pPr>
        <w:widowControl w:val="0"/>
        <w:pBdr>
          <w:top w:val="nil"/>
          <w:left w:val="nil"/>
          <w:bottom w:val="nil"/>
          <w:right w:val="nil"/>
          <w:between w:val="nil"/>
        </w:pBdr>
        <w:spacing w:before="220"/>
        <w:ind w:leftChars="0" w:left="0" w:firstLineChars="0" w:firstLine="0"/>
        <w:jc w:val="both"/>
        <w:rPr>
          <w:rFonts w:ascii="TheSans" w:eastAsia="Times New Roman" w:hAnsi="TheSans" w:cs="TheSans"/>
          <w:color w:val="000000"/>
          <w:sz w:val="28"/>
          <w:szCs w:val="28"/>
          <w:rtl/>
        </w:rPr>
      </w:pPr>
    </w:p>
    <w:p w14:paraId="28426443" w14:textId="160D1B7C" w:rsidR="00614315" w:rsidRDefault="00614315" w:rsidP="00614315">
      <w:pPr>
        <w:widowControl w:val="0"/>
        <w:pBdr>
          <w:top w:val="nil"/>
          <w:left w:val="nil"/>
          <w:bottom w:val="nil"/>
          <w:right w:val="nil"/>
          <w:between w:val="nil"/>
        </w:pBdr>
        <w:spacing w:before="220"/>
        <w:ind w:leftChars="0" w:left="0" w:firstLineChars="0" w:firstLine="0"/>
        <w:jc w:val="both"/>
        <w:rPr>
          <w:rFonts w:ascii="TheSans" w:eastAsia="Times New Roman" w:hAnsi="TheSans" w:cs="TheSans"/>
          <w:color w:val="000000"/>
          <w:sz w:val="28"/>
          <w:szCs w:val="28"/>
          <w:rtl/>
        </w:rPr>
      </w:pPr>
    </w:p>
    <w:p w14:paraId="0FE41FEB" w14:textId="3DA932DE" w:rsidR="00614315" w:rsidRDefault="00614315" w:rsidP="00614315">
      <w:pPr>
        <w:widowControl w:val="0"/>
        <w:pBdr>
          <w:top w:val="nil"/>
          <w:left w:val="nil"/>
          <w:bottom w:val="nil"/>
          <w:right w:val="nil"/>
          <w:between w:val="nil"/>
        </w:pBdr>
        <w:spacing w:before="220"/>
        <w:ind w:leftChars="0" w:left="0" w:firstLineChars="0" w:firstLine="0"/>
        <w:jc w:val="both"/>
        <w:rPr>
          <w:rFonts w:ascii="TheSans" w:eastAsia="Times New Roman" w:hAnsi="TheSans" w:cs="TheSans"/>
          <w:color w:val="000000"/>
          <w:sz w:val="28"/>
          <w:szCs w:val="28"/>
          <w:rtl/>
        </w:rPr>
      </w:pPr>
    </w:p>
    <w:p w14:paraId="1F1146D7" w14:textId="74D777ED" w:rsidR="00614315" w:rsidRDefault="00614315" w:rsidP="00614315">
      <w:pPr>
        <w:widowControl w:val="0"/>
        <w:pBdr>
          <w:top w:val="nil"/>
          <w:left w:val="nil"/>
          <w:bottom w:val="nil"/>
          <w:right w:val="nil"/>
          <w:between w:val="nil"/>
        </w:pBdr>
        <w:spacing w:before="220"/>
        <w:ind w:leftChars="0" w:left="0" w:firstLineChars="0" w:firstLine="0"/>
        <w:jc w:val="both"/>
        <w:rPr>
          <w:rFonts w:ascii="TheSans" w:eastAsia="Times New Roman" w:hAnsi="TheSans" w:cs="TheSans"/>
          <w:color w:val="000000"/>
          <w:sz w:val="28"/>
          <w:szCs w:val="28"/>
          <w:rtl/>
        </w:rPr>
      </w:pPr>
    </w:p>
    <w:p w14:paraId="0920A66D" w14:textId="449D69A8" w:rsidR="00614315" w:rsidRDefault="00614315" w:rsidP="00614315">
      <w:pPr>
        <w:widowControl w:val="0"/>
        <w:pBdr>
          <w:top w:val="nil"/>
          <w:left w:val="nil"/>
          <w:bottom w:val="nil"/>
          <w:right w:val="nil"/>
          <w:between w:val="nil"/>
        </w:pBdr>
        <w:spacing w:before="220"/>
        <w:ind w:leftChars="0" w:left="0" w:firstLineChars="0" w:firstLine="0"/>
        <w:jc w:val="both"/>
        <w:rPr>
          <w:rFonts w:ascii="TheSans" w:eastAsia="Times New Roman" w:hAnsi="TheSans" w:cs="TheSans"/>
          <w:color w:val="000000"/>
          <w:sz w:val="28"/>
          <w:szCs w:val="28"/>
          <w:rtl/>
        </w:rPr>
      </w:pPr>
    </w:p>
    <w:p w14:paraId="65EB2580" w14:textId="090A86AE" w:rsidR="00614315" w:rsidRDefault="00614315" w:rsidP="00614315">
      <w:pPr>
        <w:widowControl w:val="0"/>
        <w:pBdr>
          <w:top w:val="nil"/>
          <w:left w:val="nil"/>
          <w:bottom w:val="nil"/>
          <w:right w:val="nil"/>
          <w:between w:val="nil"/>
        </w:pBdr>
        <w:spacing w:before="220"/>
        <w:ind w:leftChars="0" w:left="0" w:firstLineChars="0" w:firstLine="0"/>
        <w:jc w:val="both"/>
        <w:rPr>
          <w:rFonts w:ascii="TheSans" w:eastAsia="Times New Roman" w:hAnsi="TheSans" w:cs="TheSans"/>
          <w:color w:val="000000"/>
          <w:sz w:val="28"/>
          <w:szCs w:val="28"/>
          <w:rtl/>
        </w:rPr>
      </w:pPr>
    </w:p>
    <w:p w14:paraId="73DD7941" w14:textId="1281ADB9" w:rsidR="00614315" w:rsidRDefault="00614315" w:rsidP="00614315">
      <w:pPr>
        <w:widowControl w:val="0"/>
        <w:pBdr>
          <w:top w:val="nil"/>
          <w:left w:val="nil"/>
          <w:bottom w:val="nil"/>
          <w:right w:val="nil"/>
          <w:between w:val="nil"/>
        </w:pBdr>
        <w:spacing w:before="220"/>
        <w:ind w:leftChars="0" w:left="0" w:firstLineChars="0" w:firstLine="0"/>
        <w:jc w:val="both"/>
        <w:rPr>
          <w:rFonts w:ascii="TheSans" w:eastAsia="Times New Roman" w:hAnsi="TheSans" w:cs="TheSans"/>
          <w:color w:val="000000"/>
          <w:sz w:val="28"/>
          <w:szCs w:val="28"/>
          <w:rtl/>
        </w:rPr>
      </w:pPr>
    </w:p>
    <w:p w14:paraId="13F25678" w14:textId="52EBFF47" w:rsidR="00614315" w:rsidRDefault="00614315" w:rsidP="00614315">
      <w:pPr>
        <w:widowControl w:val="0"/>
        <w:pBdr>
          <w:top w:val="nil"/>
          <w:left w:val="nil"/>
          <w:bottom w:val="nil"/>
          <w:right w:val="nil"/>
          <w:between w:val="nil"/>
        </w:pBdr>
        <w:spacing w:before="220"/>
        <w:ind w:leftChars="0" w:left="0" w:firstLineChars="0" w:firstLine="0"/>
        <w:jc w:val="both"/>
        <w:rPr>
          <w:rFonts w:ascii="TheSans" w:eastAsia="Times New Roman" w:hAnsi="TheSans" w:cs="TheSans"/>
          <w:color w:val="000000"/>
          <w:sz w:val="28"/>
          <w:szCs w:val="28"/>
          <w:rtl/>
        </w:rPr>
      </w:pPr>
    </w:p>
    <w:p w14:paraId="681C51C1" w14:textId="4B1C834D" w:rsidR="00EB6EE8" w:rsidRPr="00A46CDB" w:rsidRDefault="001C2DB7" w:rsidP="00A46CDB">
      <w:pPr>
        <w:widowControl w:val="0"/>
        <w:pBdr>
          <w:top w:val="nil"/>
          <w:left w:val="nil"/>
          <w:bottom w:val="nil"/>
          <w:right w:val="nil"/>
          <w:between w:val="nil"/>
        </w:pBdr>
        <w:spacing w:before="220"/>
        <w:ind w:left="3" w:hanging="5"/>
        <w:jc w:val="center"/>
        <w:rPr>
          <w:rFonts w:ascii="TheSans" w:eastAsia="Times New Roman" w:hAnsi="TheSans" w:cs="TheSans"/>
          <w:b/>
          <w:bCs/>
          <w:color w:val="31849B" w:themeColor="accent5" w:themeShade="BF"/>
          <w:sz w:val="52"/>
          <w:szCs w:val="52"/>
        </w:rPr>
      </w:pPr>
      <w:r w:rsidRPr="00A46CDB">
        <w:rPr>
          <w:rFonts w:ascii="TheSans" w:eastAsia="Times New Roman" w:hAnsi="TheSans" w:cs="TheSans"/>
          <w:b/>
          <w:bCs/>
          <w:color w:val="31849B" w:themeColor="accent5" w:themeShade="BF"/>
          <w:sz w:val="52"/>
          <w:szCs w:val="52"/>
          <w:rtl/>
        </w:rPr>
        <w:lastRenderedPageBreak/>
        <w:t>خامسا: تشريعات وقرارات ومؤثرة في المسار الديمقراطي</w:t>
      </w:r>
    </w:p>
    <w:p w14:paraId="6613618B" w14:textId="77777777" w:rsidR="00614315" w:rsidRPr="00614315" w:rsidRDefault="00614315" w:rsidP="00614315">
      <w:pPr>
        <w:widowControl w:val="0"/>
        <w:pBdr>
          <w:top w:val="nil"/>
          <w:left w:val="nil"/>
          <w:bottom w:val="nil"/>
          <w:right w:val="nil"/>
          <w:between w:val="nil"/>
        </w:pBdr>
        <w:spacing w:before="220"/>
        <w:ind w:left="1" w:hanging="3"/>
        <w:jc w:val="both"/>
        <w:rPr>
          <w:rFonts w:ascii="TheSans" w:eastAsia="Times New Roman" w:hAnsi="TheSans" w:cs="TheSans"/>
          <w:color w:val="00000A"/>
          <w:sz w:val="28"/>
          <w:szCs w:val="28"/>
          <w:rtl/>
        </w:rPr>
      </w:pPr>
      <w:r w:rsidRPr="00614315">
        <w:rPr>
          <w:rFonts w:ascii="TheSans" w:eastAsia="Times New Roman" w:hAnsi="TheSans" w:cs="TheSans"/>
          <w:color w:val="00000A"/>
          <w:sz w:val="28"/>
          <w:szCs w:val="28"/>
          <w:rtl/>
        </w:rPr>
        <w:t>بتاريخ 12 يوليو 2021 وافق مجلس النواب في جلسته العامة على قرار رئيس جمهورية مصر العربية رقم 290 لسنة 2021، بشأن مد حالة الطوارئ المعلنة بقرار رئيس الجمهورية رقم 174 لسنة 2021 فى جميع أنحاء البلاد لمدة ثلاثة أشهر أخرى تبدأ اعتبارا من الساعة الواحدة من صباح يوم السبت الموافق الرابع والعشرين من يوليو.</w:t>
      </w:r>
    </w:p>
    <w:p w14:paraId="1092003E" w14:textId="77777777" w:rsidR="00614315" w:rsidRPr="00614315" w:rsidRDefault="00614315" w:rsidP="00614315">
      <w:pPr>
        <w:widowControl w:val="0"/>
        <w:pBdr>
          <w:top w:val="nil"/>
          <w:left w:val="nil"/>
          <w:bottom w:val="nil"/>
          <w:right w:val="nil"/>
          <w:between w:val="nil"/>
        </w:pBdr>
        <w:spacing w:before="220"/>
        <w:ind w:left="1" w:hanging="3"/>
        <w:jc w:val="both"/>
        <w:rPr>
          <w:rFonts w:ascii="TheSans" w:eastAsia="Times New Roman" w:hAnsi="TheSans" w:cs="TheSans"/>
          <w:color w:val="00000A"/>
          <w:sz w:val="28"/>
          <w:szCs w:val="28"/>
          <w:rtl/>
        </w:rPr>
      </w:pPr>
      <w:r w:rsidRPr="00614315">
        <w:rPr>
          <w:rFonts w:ascii="TheSans" w:eastAsia="Times New Roman" w:hAnsi="TheSans" w:cs="TheSans"/>
          <w:color w:val="00000A"/>
          <w:sz w:val="28"/>
          <w:szCs w:val="28"/>
          <w:rtl/>
        </w:rPr>
        <w:t xml:space="preserve">بتاريخ 24 يوليو 2021 أصدر رئيس مجلس الوزراء  القرار  رقم 1664 لسنة 2021 بتحديد الجرائم الخاضعة لحالة الطوارئ، والتي تحيلها النيابة العامة إلى محاكم أمن الدولة طوارئ وجاءت تلك الجرائم وفقا للمادة الأولى من القرار سالف الذكر كالآتي: الجرائم المنصوص عليها في القانون رقم 10 لسنة 1914 بشأن التجمهر، الجرائم المنصوص عليها في الأبواب الأول، الثاني، والثاني (مكررًا) من الكتاب الثاني من قانون العقوبات، الجرائم المنصوص عليها في المواد من 163 إلى 170 بشأن تعطيل المواصلات، وفي المواد (172 – 174 – 175 – 176 – 177 – 179) من قانون العقوبات، جرائم الترويع والتخويف والمساس بالطمأنينة “البلطجة” المنصوص عليها في الباب السادس عشر من الكتاب الثالث من قانون العقوبات، الجرائم المنصوص عليها في القانون رقم 113 لسنة 2008 بشأن الحفاظ على حرمة أماكن العبادة،الجرائم المتعلقة بإنشاء مبان أو إقامة أعمال أو توسيعها أو تعليتها أو تعديلها أو تدعيمها أو ترميمها أو هدمها بدون ترخيص من الجهة الإدارية المختصة، وكذلك الجرائم المتعلقة بإقامة أعمال دون مراعاة الأصول الفنية المقررة قانونًا في تصميم أعمال البناء أو تنفيذها أو الإشراف على التنفيذ </w:t>
      </w:r>
      <w:r w:rsidRPr="00614315">
        <w:rPr>
          <w:rFonts w:ascii="TheSans" w:eastAsia="Times New Roman" w:hAnsi="TheSans" w:cs="TheSans"/>
          <w:color w:val="00000A"/>
          <w:sz w:val="28"/>
          <w:szCs w:val="28"/>
          <w:rtl/>
        </w:rPr>
        <w:lastRenderedPageBreak/>
        <w:t>أو متابعته أو عدم مطابقة التنفيذ للرسومات والبيانات أو المستندات التي منح الترخيص على أساسها أو الغش في استخدام مواد البناء أو استخدام مواد غيرمطابقة للمواصفات المقررة المنصوص عليها في المادتين (102 و104) من قانون البناء الصادر بالقانون رقم 119 لسنة 2008، جرائم القتل الخطأ أو الإصابة الخطأ أو التزوير في محررات السكك الحديدية أو الإضرار بأموال هيئة سكك حديد مصر والتي ترتكب من العاملين في السكك الحديدية أثناء تأدية واجبات وظيفتهم وما يرتبط بكل ذلك من جرائم،الجرائم المنصوص عليها في القانون رقم 34 لسنة 2011 في شأن الاعتداء على حرية العمل وتخريب المنشآت، الجرائم المنصوص عليها في القانون رقم 107 لسنة 2013 بشأن الحق في الاجتماعات العامة والمواكب والمظاهرات السلمية، الجرائم المنصوص عليها في قانون مكافحة الإرهاب الصادر بالقانون رقم 94 لسنة 2015.</w:t>
      </w:r>
    </w:p>
    <w:p w14:paraId="4C200FD5" w14:textId="77777777" w:rsidR="00614315" w:rsidRPr="00614315" w:rsidRDefault="00614315" w:rsidP="00614315">
      <w:pPr>
        <w:widowControl w:val="0"/>
        <w:pBdr>
          <w:top w:val="nil"/>
          <w:left w:val="nil"/>
          <w:bottom w:val="nil"/>
          <w:right w:val="nil"/>
          <w:between w:val="nil"/>
        </w:pBdr>
        <w:spacing w:before="220"/>
        <w:ind w:left="1" w:hanging="3"/>
        <w:jc w:val="both"/>
        <w:rPr>
          <w:rFonts w:ascii="TheSans" w:eastAsia="Times New Roman" w:hAnsi="TheSans" w:cs="TheSans"/>
          <w:color w:val="00000A"/>
          <w:sz w:val="28"/>
          <w:szCs w:val="28"/>
          <w:rtl/>
        </w:rPr>
      </w:pPr>
      <w:r w:rsidRPr="00614315">
        <w:rPr>
          <w:rFonts w:ascii="TheSans" w:eastAsia="Times New Roman" w:hAnsi="TheSans" w:cs="TheSans"/>
          <w:color w:val="00000A"/>
          <w:sz w:val="28"/>
          <w:szCs w:val="28"/>
          <w:rtl/>
        </w:rPr>
        <w:t>بتاريخ 12 أغسطس 2021 صدق رئيس الجمهورية على القانون رقم 135 لسنة 2021، بتعديل بعض أحكام القانون رقم 10 لسنة 1972 في شأن الفصل بغير الطريق التأديبي وقانون الخدمة المدنية الصادر بالقانون رقم 81 لسنة 2016.</w:t>
      </w:r>
    </w:p>
    <w:p w14:paraId="050C38E5" w14:textId="2BC4DBD4" w:rsidR="00614315" w:rsidRPr="00614315" w:rsidRDefault="00614315" w:rsidP="00614315">
      <w:pPr>
        <w:widowControl w:val="0"/>
        <w:pBdr>
          <w:top w:val="nil"/>
          <w:left w:val="nil"/>
          <w:bottom w:val="nil"/>
          <w:right w:val="nil"/>
          <w:between w:val="nil"/>
        </w:pBdr>
        <w:spacing w:before="220"/>
        <w:ind w:left="1" w:hanging="3"/>
        <w:jc w:val="both"/>
        <w:rPr>
          <w:rFonts w:ascii="TheSans" w:eastAsia="Times New Roman" w:hAnsi="TheSans" w:cs="TheSans"/>
          <w:color w:val="00000A"/>
          <w:sz w:val="28"/>
          <w:szCs w:val="28"/>
          <w:rtl/>
        </w:rPr>
      </w:pPr>
      <w:r w:rsidRPr="00614315">
        <w:rPr>
          <w:rFonts w:ascii="TheSans" w:eastAsia="Times New Roman" w:hAnsi="TheSans" w:cs="TheSans"/>
          <w:color w:val="00000A"/>
          <w:sz w:val="28"/>
          <w:szCs w:val="28"/>
          <w:rtl/>
        </w:rPr>
        <w:t>بتاريخ 19 أغسطس 2021  نشرت الجريدة الرسمية تصديق رئيس الجمهورية على القانون رقم 141 لسنة 2021 بتعديل بعض أحكام قانون العقوبات.</w:t>
      </w:r>
    </w:p>
    <w:p w14:paraId="40EF6CDA" w14:textId="112930FE" w:rsidR="00614315" w:rsidRDefault="00614315" w:rsidP="00614315">
      <w:pPr>
        <w:widowControl w:val="0"/>
        <w:pBdr>
          <w:top w:val="nil"/>
          <w:left w:val="nil"/>
          <w:bottom w:val="nil"/>
          <w:right w:val="nil"/>
          <w:between w:val="nil"/>
        </w:pBdr>
        <w:spacing w:before="220"/>
        <w:ind w:left="1" w:hanging="3"/>
        <w:jc w:val="both"/>
        <w:rPr>
          <w:rFonts w:ascii="TheSans" w:eastAsia="Times New Roman" w:hAnsi="TheSans" w:cs="TheSans"/>
          <w:color w:val="00000A"/>
          <w:sz w:val="28"/>
          <w:szCs w:val="28"/>
          <w:rtl/>
        </w:rPr>
      </w:pPr>
      <w:r w:rsidRPr="00614315">
        <w:rPr>
          <w:rFonts w:ascii="TheSans" w:eastAsia="Times New Roman" w:hAnsi="TheSans" w:cs="TheSans"/>
          <w:color w:val="00000A"/>
          <w:sz w:val="28"/>
          <w:szCs w:val="28"/>
          <w:rtl/>
        </w:rPr>
        <w:t>بتاريخ 12 سبتمبر 2021 أطلقت اللجنة العليا الدائمة لحقوق الإنسان -المشكلة بقرار رئيس مجلس الوزراء في عام 2018- الاستراتيجية الوطنية لحقوق الإنسان لجمهورية مصر العربية 2021- 2026.</w:t>
      </w:r>
    </w:p>
    <w:p w14:paraId="7449395E" w14:textId="77777777" w:rsidR="006535FB" w:rsidRPr="00614315" w:rsidRDefault="006535FB" w:rsidP="00614315">
      <w:pPr>
        <w:widowControl w:val="0"/>
        <w:pBdr>
          <w:top w:val="nil"/>
          <w:left w:val="nil"/>
          <w:bottom w:val="nil"/>
          <w:right w:val="nil"/>
          <w:between w:val="nil"/>
        </w:pBdr>
        <w:spacing w:before="220"/>
        <w:ind w:left="1" w:hanging="3"/>
        <w:jc w:val="both"/>
        <w:rPr>
          <w:rFonts w:ascii="TheSans" w:eastAsia="Times New Roman" w:hAnsi="TheSans" w:cs="TheSans"/>
          <w:color w:val="00000A"/>
          <w:sz w:val="28"/>
          <w:szCs w:val="28"/>
          <w:rtl/>
        </w:rPr>
      </w:pPr>
    </w:p>
    <w:p w14:paraId="5963F47F" w14:textId="77777777" w:rsidR="006535FB" w:rsidRDefault="006535FB" w:rsidP="00614315">
      <w:pPr>
        <w:widowControl w:val="0"/>
        <w:pBdr>
          <w:top w:val="nil"/>
          <w:left w:val="nil"/>
          <w:bottom w:val="nil"/>
          <w:right w:val="nil"/>
          <w:between w:val="nil"/>
        </w:pBdr>
        <w:spacing w:before="220"/>
        <w:ind w:left="1" w:hanging="3"/>
        <w:jc w:val="both"/>
        <w:rPr>
          <w:rFonts w:ascii="TheSans" w:eastAsia="Times New Roman" w:hAnsi="TheSans" w:cs="TheSans"/>
          <w:color w:val="00000A"/>
          <w:sz w:val="28"/>
          <w:szCs w:val="28"/>
          <w:rtl/>
        </w:rPr>
      </w:pPr>
    </w:p>
    <w:p w14:paraId="0F2CE686" w14:textId="382AB4B9" w:rsidR="00614315" w:rsidRPr="00614315" w:rsidRDefault="00614315" w:rsidP="00614315">
      <w:pPr>
        <w:widowControl w:val="0"/>
        <w:pBdr>
          <w:top w:val="nil"/>
          <w:left w:val="nil"/>
          <w:bottom w:val="nil"/>
          <w:right w:val="nil"/>
          <w:between w:val="nil"/>
        </w:pBdr>
        <w:spacing w:before="220"/>
        <w:ind w:left="1" w:hanging="3"/>
        <w:jc w:val="both"/>
        <w:rPr>
          <w:rFonts w:ascii="TheSans" w:eastAsia="Times New Roman" w:hAnsi="TheSans" w:cs="TheSans"/>
          <w:color w:val="00000A"/>
          <w:sz w:val="28"/>
          <w:szCs w:val="28"/>
          <w:rtl/>
        </w:rPr>
      </w:pPr>
      <w:r w:rsidRPr="00614315">
        <w:rPr>
          <w:rFonts w:ascii="TheSans" w:eastAsia="Times New Roman" w:hAnsi="TheSans" w:cs="TheSans"/>
          <w:color w:val="00000A"/>
          <w:sz w:val="28"/>
          <w:szCs w:val="28"/>
          <w:rtl/>
        </w:rPr>
        <w:lastRenderedPageBreak/>
        <w:t>"المسار الديمقراطي" تقرير أطلقته الشبكة العربية لمعلومات حقوق الإنسان في عام 2014 بشكل سنوي من خلال مبادرة "محامون من أجل الديمقراطية" .</w:t>
      </w:r>
    </w:p>
    <w:p w14:paraId="48944EBD" w14:textId="77777777" w:rsidR="00614315" w:rsidRPr="00614315" w:rsidRDefault="00614315" w:rsidP="00614315">
      <w:pPr>
        <w:widowControl w:val="0"/>
        <w:pBdr>
          <w:top w:val="nil"/>
          <w:left w:val="nil"/>
          <w:bottom w:val="nil"/>
          <w:right w:val="nil"/>
          <w:between w:val="nil"/>
        </w:pBdr>
        <w:spacing w:before="220"/>
        <w:ind w:left="1" w:hanging="3"/>
        <w:jc w:val="both"/>
        <w:rPr>
          <w:rFonts w:ascii="TheSans" w:eastAsia="Times New Roman" w:hAnsi="TheSans" w:cs="TheSans"/>
          <w:color w:val="00000A"/>
          <w:sz w:val="28"/>
          <w:szCs w:val="28"/>
          <w:rtl/>
        </w:rPr>
      </w:pPr>
      <w:r w:rsidRPr="00614315">
        <w:rPr>
          <w:rFonts w:ascii="TheSans" w:eastAsia="Times New Roman" w:hAnsi="TheSans" w:cs="TheSans"/>
          <w:color w:val="00000A"/>
          <w:sz w:val="28"/>
          <w:szCs w:val="28"/>
          <w:rtl/>
        </w:rPr>
        <w:t xml:space="preserve"> وفي عام   ٢٠١٨، اصبح ربع سنوي بجانب صدور التقرير السنوي .</w:t>
      </w:r>
    </w:p>
    <w:p w14:paraId="7C9D7B01" w14:textId="44FF6115" w:rsidR="00614315" w:rsidRPr="00614315" w:rsidRDefault="00614315" w:rsidP="00614315">
      <w:pPr>
        <w:widowControl w:val="0"/>
        <w:pBdr>
          <w:top w:val="nil"/>
          <w:left w:val="nil"/>
          <w:bottom w:val="nil"/>
          <w:right w:val="nil"/>
          <w:between w:val="nil"/>
        </w:pBdr>
        <w:spacing w:before="220"/>
        <w:ind w:left="1" w:hanging="3"/>
        <w:jc w:val="both"/>
        <w:rPr>
          <w:rFonts w:ascii="TheSans" w:eastAsia="Times New Roman" w:hAnsi="TheSans" w:cs="TheSans"/>
          <w:color w:val="00000A"/>
          <w:sz w:val="28"/>
          <w:szCs w:val="28"/>
          <w:rtl/>
        </w:rPr>
      </w:pPr>
      <w:r w:rsidRPr="00614315">
        <w:rPr>
          <w:rFonts w:ascii="TheSans" w:eastAsia="Times New Roman" w:hAnsi="TheSans" w:cs="TheSans"/>
          <w:color w:val="00000A"/>
          <w:sz w:val="28"/>
          <w:szCs w:val="28"/>
          <w:rtl/>
        </w:rPr>
        <w:t>ويمكن الإطلاع عليهم من خلال الجزء الخاص بالتقارير والدراسات على موقع الشبكة العربية.</w:t>
      </w:r>
    </w:p>
    <w:p w14:paraId="254FCEC3" w14:textId="3210E1BE" w:rsidR="00614315" w:rsidRDefault="00614315" w:rsidP="00614315">
      <w:pPr>
        <w:widowControl w:val="0"/>
        <w:pBdr>
          <w:top w:val="nil"/>
          <w:left w:val="nil"/>
          <w:bottom w:val="nil"/>
          <w:right w:val="nil"/>
          <w:between w:val="nil"/>
        </w:pBdr>
        <w:tabs>
          <w:tab w:val="left" w:pos="709"/>
        </w:tabs>
        <w:spacing w:after="120" w:line="240" w:lineRule="auto"/>
        <w:ind w:left="1" w:hanging="3"/>
        <w:jc w:val="both"/>
        <w:rPr>
          <w:rFonts w:ascii="TheSans" w:eastAsia="Times New Roman" w:hAnsi="TheSans" w:cs="TheSans"/>
          <w:color w:val="00000A"/>
          <w:sz w:val="28"/>
          <w:szCs w:val="28"/>
          <w:rtl/>
        </w:rPr>
      </w:pPr>
      <w:r w:rsidRPr="00614315">
        <w:rPr>
          <w:rFonts w:ascii="TheSans" w:eastAsia="Times New Roman" w:hAnsi="TheSans" w:cs="TheSans"/>
          <w:color w:val="00000A"/>
          <w:sz w:val="28"/>
          <w:szCs w:val="28"/>
          <w:rtl/>
        </w:rPr>
        <w:t>يعتمد هذا التقرير على الاحداث والفعاليات التي رصدتها الشبكة العربية ولا يحتوي بالضرورة على كل الاحداث والفعاليات.</w:t>
      </w:r>
    </w:p>
    <w:p w14:paraId="0222C742" w14:textId="34EDAFA3" w:rsidR="00614315" w:rsidRDefault="00614315" w:rsidP="00614315">
      <w:pPr>
        <w:widowControl w:val="0"/>
        <w:pBdr>
          <w:top w:val="nil"/>
          <w:left w:val="nil"/>
          <w:bottom w:val="nil"/>
          <w:right w:val="nil"/>
          <w:between w:val="nil"/>
        </w:pBdr>
        <w:tabs>
          <w:tab w:val="left" w:pos="709"/>
        </w:tabs>
        <w:spacing w:after="120" w:line="240" w:lineRule="auto"/>
        <w:ind w:left="1" w:hanging="3"/>
        <w:rPr>
          <w:rFonts w:ascii="TheSans" w:eastAsia="Times New Roman" w:hAnsi="TheSans" w:cs="TheSans"/>
          <w:color w:val="00000A"/>
          <w:sz w:val="28"/>
          <w:szCs w:val="28"/>
          <w:rtl/>
        </w:rPr>
      </w:pPr>
    </w:p>
    <w:p w14:paraId="6B030148" w14:textId="01BBCB9C" w:rsidR="00EB6EE8" w:rsidRPr="00614315" w:rsidRDefault="004074DE" w:rsidP="00614315">
      <w:pPr>
        <w:widowControl w:val="0"/>
        <w:pBdr>
          <w:top w:val="nil"/>
          <w:left w:val="nil"/>
          <w:bottom w:val="nil"/>
          <w:right w:val="nil"/>
          <w:between w:val="nil"/>
        </w:pBdr>
        <w:tabs>
          <w:tab w:val="left" w:pos="709"/>
        </w:tabs>
        <w:spacing w:after="120" w:line="240" w:lineRule="auto"/>
        <w:ind w:left="0" w:hanging="2"/>
        <w:jc w:val="center"/>
        <w:rPr>
          <w:rFonts w:ascii="TheSans" w:eastAsia="Times New Roman" w:hAnsi="TheSans" w:cs="TheSans"/>
          <w:color w:val="00000A"/>
          <w:sz w:val="24"/>
          <w:szCs w:val="24"/>
        </w:rPr>
      </w:pPr>
      <w:hyperlink r:id="rId19">
        <w:r w:rsidR="001C2DB7" w:rsidRPr="00614315">
          <w:rPr>
            <w:rFonts w:ascii="TheSans" w:eastAsia="Times New Roman" w:hAnsi="TheSans" w:cs="TheSans"/>
            <w:b/>
            <w:color w:val="4F81BD"/>
            <w:sz w:val="24"/>
            <w:szCs w:val="24"/>
            <w:rtl/>
          </w:rPr>
          <w:t>للاطلاع</w:t>
        </w:r>
      </w:hyperlink>
      <w:hyperlink r:id="rId20">
        <w:r w:rsidR="001C2DB7" w:rsidRPr="00614315">
          <w:rPr>
            <w:rFonts w:ascii="TheSans" w:eastAsia="Times New Roman" w:hAnsi="TheSans" w:cs="TheSans"/>
            <w:b/>
            <w:color w:val="4F81BD"/>
            <w:sz w:val="24"/>
            <w:szCs w:val="24"/>
            <w:rtl/>
          </w:rPr>
          <w:t xml:space="preserve"> </w:t>
        </w:r>
      </w:hyperlink>
      <w:hyperlink r:id="rId21">
        <w:r w:rsidR="001C2DB7" w:rsidRPr="00614315">
          <w:rPr>
            <w:rFonts w:ascii="TheSans" w:eastAsia="Times New Roman" w:hAnsi="TheSans" w:cs="TheSans"/>
            <w:b/>
            <w:color w:val="4F81BD"/>
            <w:sz w:val="24"/>
            <w:szCs w:val="24"/>
            <w:rtl/>
          </w:rPr>
          <w:t>على</w:t>
        </w:r>
      </w:hyperlink>
      <w:hyperlink r:id="rId22">
        <w:r w:rsidR="001C2DB7" w:rsidRPr="00614315">
          <w:rPr>
            <w:rFonts w:ascii="TheSans" w:eastAsia="Times New Roman" w:hAnsi="TheSans" w:cs="TheSans"/>
            <w:b/>
            <w:color w:val="4F81BD"/>
            <w:sz w:val="24"/>
            <w:szCs w:val="24"/>
            <w:rtl/>
          </w:rPr>
          <w:t xml:space="preserve"> </w:t>
        </w:r>
      </w:hyperlink>
      <w:hyperlink r:id="rId23">
        <w:r w:rsidR="001C2DB7" w:rsidRPr="00614315">
          <w:rPr>
            <w:rFonts w:ascii="TheSans" w:eastAsia="Times New Roman" w:hAnsi="TheSans" w:cs="TheSans"/>
            <w:b/>
            <w:color w:val="4F81BD"/>
            <w:sz w:val="24"/>
            <w:szCs w:val="24"/>
            <w:rtl/>
          </w:rPr>
          <w:t>تقارير</w:t>
        </w:r>
      </w:hyperlink>
      <w:hyperlink r:id="rId24">
        <w:r w:rsidR="001C2DB7" w:rsidRPr="00614315">
          <w:rPr>
            <w:rFonts w:ascii="TheSans" w:eastAsia="Times New Roman" w:hAnsi="TheSans" w:cs="TheSans"/>
            <w:b/>
            <w:color w:val="4F81BD"/>
            <w:sz w:val="24"/>
            <w:szCs w:val="24"/>
            <w:rtl/>
          </w:rPr>
          <w:t xml:space="preserve"> </w:t>
        </w:r>
      </w:hyperlink>
      <w:hyperlink r:id="rId25">
        <w:r w:rsidR="001C2DB7" w:rsidRPr="00614315">
          <w:rPr>
            <w:rFonts w:ascii="TheSans" w:eastAsia="Times New Roman" w:hAnsi="TheSans" w:cs="TheSans"/>
            <w:b/>
            <w:color w:val="4F81BD"/>
            <w:sz w:val="24"/>
            <w:szCs w:val="24"/>
            <w:rtl/>
          </w:rPr>
          <w:t>المسار</w:t>
        </w:r>
      </w:hyperlink>
      <w:hyperlink r:id="rId26">
        <w:r w:rsidR="001C2DB7" w:rsidRPr="00614315">
          <w:rPr>
            <w:rFonts w:ascii="TheSans" w:eastAsia="Times New Roman" w:hAnsi="TheSans" w:cs="TheSans"/>
            <w:b/>
            <w:color w:val="4F81BD"/>
            <w:sz w:val="24"/>
            <w:szCs w:val="24"/>
            <w:rtl/>
          </w:rPr>
          <w:t xml:space="preserve"> </w:t>
        </w:r>
      </w:hyperlink>
      <w:hyperlink r:id="rId27">
        <w:r w:rsidR="001C2DB7" w:rsidRPr="00614315">
          <w:rPr>
            <w:rFonts w:ascii="TheSans" w:eastAsia="Times New Roman" w:hAnsi="TheSans" w:cs="TheSans"/>
            <w:b/>
            <w:color w:val="4F81BD"/>
            <w:sz w:val="24"/>
            <w:szCs w:val="24"/>
            <w:rtl/>
          </w:rPr>
          <w:t>الديمقراطي</w:t>
        </w:r>
      </w:hyperlink>
      <w:hyperlink r:id="rId28">
        <w:r w:rsidR="001C2DB7" w:rsidRPr="00614315">
          <w:rPr>
            <w:rFonts w:ascii="TheSans" w:eastAsia="Times New Roman" w:hAnsi="TheSans" w:cs="TheSans"/>
            <w:b/>
            <w:color w:val="4F81BD"/>
            <w:sz w:val="24"/>
            <w:szCs w:val="24"/>
            <w:rtl/>
          </w:rPr>
          <w:t xml:space="preserve"> </w:t>
        </w:r>
      </w:hyperlink>
      <w:hyperlink r:id="rId29">
        <w:r w:rsidR="001C2DB7" w:rsidRPr="00614315">
          <w:rPr>
            <w:rFonts w:ascii="TheSans" w:eastAsia="Times New Roman" w:hAnsi="TheSans" w:cs="TheSans"/>
            <w:b/>
            <w:color w:val="4F81BD"/>
            <w:sz w:val="24"/>
            <w:szCs w:val="24"/>
            <w:rtl/>
          </w:rPr>
          <w:t>السابقة</w:t>
        </w:r>
      </w:hyperlink>
    </w:p>
    <w:p w14:paraId="6D552914" w14:textId="1A9680F4" w:rsidR="00EB6EE8" w:rsidRPr="00614315" w:rsidRDefault="004074DE" w:rsidP="00614315">
      <w:pPr>
        <w:widowControl w:val="0"/>
        <w:pBdr>
          <w:top w:val="nil"/>
          <w:left w:val="nil"/>
          <w:bottom w:val="nil"/>
          <w:right w:val="nil"/>
          <w:between w:val="nil"/>
        </w:pBdr>
        <w:tabs>
          <w:tab w:val="left" w:pos="709"/>
        </w:tabs>
        <w:spacing w:after="120" w:line="240" w:lineRule="auto"/>
        <w:ind w:left="0" w:hanging="2"/>
        <w:jc w:val="center"/>
        <w:rPr>
          <w:rFonts w:ascii="TheSans" w:eastAsia="Times New Roman" w:hAnsi="TheSans" w:cs="TheSans"/>
          <w:color w:val="00000A"/>
          <w:sz w:val="24"/>
          <w:szCs w:val="24"/>
        </w:rPr>
      </w:pPr>
      <w:hyperlink r:id="rId30">
        <w:r w:rsidR="001C2DB7" w:rsidRPr="00614315">
          <w:rPr>
            <w:rFonts w:ascii="TheSans" w:eastAsia="Times New Roman" w:hAnsi="TheSans" w:cs="TheSans"/>
            <w:b/>
            <w:color w:val="4F81BD"/>
            <w:sz w:val="24"/>
            <w:szCs w:val="24"/>
            <w:rtl/>
          </w:rPr>
          <w:t>للاطلاع</w:t>
        </w:r>
      </w:hyperlink>
      <w:hyperlink r:id="rId31">
        <w:r w:rsidR="001C2DB7" w:rsidRPr="00614315">
          <w:rPr>
            <w:rFonts w:ascii="TheSans" w:eastAsia="Times New Roman" w:hAnsi="TheSans" w:cs="TheSans"/>
            <w:b/>
            <w:color w:val="4F81BD"/>
            <w:sz w:val="24"/>
            <w:szCs w:val="24"/>
            <w:rtl/>
          </w:rPr>
          <w:t xml:space="preserve"> </w:t>
        </w:r>
      </w:hyperlink>
      <w:hyperlink r:id="rId32">
        <w:r w:rsidR="001C2DB7" w:rsidRPr="00614315">
          <w:rPr>
            <w:rFonts w:ascii="TheSans" w:eastAsia="Times New Roman" w:hAnsi="TheSans" w:cs="TheSans"/>
            <w:b/>
            <w:color w:val="4F81BD"/>
            <w:sz w:val="24"/>
            <w:szCs w:val="24"/>
            <w:rtl/>
          </w:rPr>
          <w:t>على</w:t>
        </w:r>
      </w:hyperlink>
      <w:hyperlink r:id="rId33">
        <w:r w:rsidR="001C2DB7" w:rsidRPr="00614315">
          <w:rPr>
            <w:rFonts w:ascii="TheSans" w:eastAsia="Times New Roman" w:hAnsi="TheSans" w:cs="TheSans"/>
            <w:b/>
            <w:color w:val="4F81BD"/>
            <w:sz w:val="24"/>
            <w:szCs w:val="24"/>
            <w:rtl/>
          </w:rPr>
          <w:t xml:space="preserve"> </w:t>
        </w:r>
      </w:hyperlink>
      <w:hyperlink r:id="rId34">
        <w:r w:rsidR="001C2DB7" w:rsidRPr="00614315">
          <w:rPr>
            <w:rFonts w:ascii="TheSans" w:eastAsia="Times New Roman" w:hAnsi="TheSans" w:cs="TheSans"/>
            <w:b/>
            <w:color w:val="4F81BD"/>
            <w:sz w:val="24"/>
            <w:szCs w:val="24"/>
            <w:rtl/>
          </w:rPr>
          <w:t>التقرير</w:t>
        </w:r>
      </w:hyperlink>
      <w:hyperlink r:id="rId35">
        <w:r w:rsidR="001C2DB7" w:rsidRPr="00614315">
          <w:rPr>
            <w:rFonts w:ascii="TheSans" w:eastAsia="Times New Roman" w:hAnsi="TheSans" w:cs="TheSans"/>
            <w:b/>
            <w:color w:val="4F81BD"/>
            <w:sz w:val="24"/>
            <w:szCs w:val="24"/>
            <w:rtl/>
          </w:rPr>
          <w:t xml:space="preserve"> </w:t>
        </w:r>
      </w:hyperlink>
      <w:hyperlink r:id="rId36">
        <w:r w:rsidR="001C2DB7" w:rsidRPr="00614315">
          <w:rPr>
            <w:rFonts w:ascii="TheSans" w:eastAsia="Times New Roman" w:hAnsi="TheSans" w:cs="TheSans"/>
            <w:b/>
            <w:color w:val="4F81BD"/>
            <w:sz w:val="24"/>
            <w:szCs w:val="24"/>
            <w:rtl/>
          </w:rPr>
          <w:t>المسار</w:t>
        </w:r>
      </w:hyperlink>
      <w:hyperlink r:id="rId37">
        <w:r w:rsidR="001C2DB7" w:rsidRPr="00614315">
          <w:rPr>
            <w:rFonts w:ascii="TheSans" w:eastAsia="Times New Roman" w:hAnsi="TheSans" w:cs="TheSans"/>
            <w:b/>
            <w:color w:val="4F81BD"/>
            <w:sz w:val="24"/>
            <w:szCs w:val="24"/>
            <w:rtl/>
          </w:rPr>
          <w:t xml:space="preserve"> </w:t>
        </w:r>
      </w:hyperlink>
      <w:hyperlink r:id="rId38">
        <w:r w:rsidR="001C2DB7" w:rsidRPr="00614315">
          <w:rPr>
            <w:rFonts w:ascii="TheSans" w:eastAsia="Times New Roman" w:hAnsi="TheSans" w:cs="TheSans"/>
            <w:b/>
            <w:color w:val="4F81BD"/>
            <w:sz w:val="24"/>
            <w:szCs w:val="24"/>
            <w:rtl/>
          </w:rPr>
          <w:t>الديمقراطي</w:t>
        </w:r>
      </w:hyperlink>
      <w:hyperlink r:id="rId39">
        <w:r w:rsidR="001C2DB7" w:rsidRPr="00614315">
          <w:rPr>
            <w:rFonts w:ascii="TheSans" w:eastAsia="Times New Roman" w:hAnsi="TheSans" w:cs="TheSans"/>
            <w:b/>
            <w:color w:val="4F81BD"/>
            <w:sz w:val="24"/>
            <w:szCs w:val="24"/>
            <w:rtl/>
          </w:rPr>
          <w:t xml:space="preserve"> </w:t>
        </w:r>
      </w:hyperlink>
      <w:hyperlink r:id="rId40">
        <w:r w:rsidR="001C2DB7" w:rsidRPr="00614315">
          <w:rPr>
            <w:rFonts w:ascii="TheSans" w:eastAsia="Times New Roman" w:hAnsi="TheSans" w:cs="TheSans"/>
            <w:b/>
            <w:color w:val="4F81BD"/>
            <w:sz w:val="24"/>
            <w:szCs w:val="24"/>
            <w:rtl/>
          </w:rPr>
          <w:t>خلال</w:t>
        </w:r>
      </w:hyperlink>
      <w:hyperlink r:id="rId41">
        <w:r w:rsidR="001C2DB7" w:rsidRPr="00614315">
          <w:rPr>
            <w:rFonts w:ascii="TheSans" w:eastAsia="Times New Roman" w:hAnsi="TheSans" w:cs="TheSans"/>
            <w:b/>
            <w:color w:val="4F81BD"/>
            <w:sz w:val="24"/>
            <w:szCs w:val="24"/>
            <w:rtl/>
          </w:rPr>
          <w:t xml:space="preserve"> </w:t>
        </w:r>
      </w:hyperlink>
      <w:hyperlink r:id="rId42">
        <w:r w:rsidR="001C2DB7" w:rsidRPr="00614315">
          <w:rPr>
            <w:rFonts w:ascii="TheSans" w:eastAsia="Times New Roman" w:hAnsi="TheSans" w:cs="TheSans"/>
            <w:b/>
            <w:color w:val="4F81BD"/>
            <w:sz w:val="24"/>
            <w:szCs w:val="24"/>
            <w:rtl/>
          </w:rPr>
          <w:t>عام</w:t>
        </w:r>
      </w:hyperlink>
      <w:hyperlink r:id="rId43">
        <w:r w:rsidR="001C2DB7" w:rsidRPr="00614315">
          <w:rPr>
            <w:rFonts w:ascii="TheSans" w:eastAsia="Times New Roman" w:hAnsi="TheSans" w:cs="TheSans"/>
            <w:b/>
            <w:color w:val="4F81BD"/>
            <w:sz w:val="24"/>
            <w:szCs w:val="24"/>
            <w:rtl/>
          </w:rPr>
          <w:t xml:space="preserve"> 2014"</w:t>
        </w:r>
      </w:hyperlink>
      <w:hyperlink r:id="rId44">
        <w:r w:rsidR="001C2DB7" w:rsidRPr="00614315">
          <w:rPr>
            <w:rFonts w:ascii="TheSans" w:eastAsia="Times New Roman" w:hAnsi="TheSans" w:cs="TheSans"/>
            <w:b/>
            <w:color w:val="4F81BD"/>
            <w:sz w:val="24"/>
            <w:szCs w:val="24"/>
            <w:rtl/>
          </w:rPr>
          <w:t>معتم</w:t>
        </w:r>
      </w:hyperlink>
      <w:hyperlink r:id="rId45">
        <w:r w:rsidR="001C2DB7" w:rsidRPr="00614315">
          <w:rPr>
            <w:rFonts w:ascii="TheSans" w:eastAsia="Times New Roman" w:hAnsi="TheSans" w:cs="TheSans"/>
            <w:b/>
            <w:color w:val="4F81BD"/>
            <w:sz w:val="24"/>
            <w:szCs w:val="24"/>
            <w:rtl/>
          </w:rPr>
          <w:t xml:space="preserve"> </w:t>
        </w:r>
      </w:hyperlink>
      <w:hyperlink r:id="rId46">
        <w:r w:rsidR="001C2DB7" w:rsidRPr="00614315">
          <w:rPr>
            <w:rFonts w:ascii="TheSans" w:eastAsia="Times New Roman" w:hAnsi="TheSans" w:cs="TheSans"/>
            <w:b/>
            <w:color w:val="4F81BD"/>
            <w:sz w:val="24"/>
            <w:szCs w:val="24"/>
            <w:rtl/>
          </w:rPr>
          <w:t>ومتعثر</w:t>
        </w:r>
      </w:hyperlink>
      <w:hyperlink r:id="rId47">
        <w:r w:rsidR="001C2DB7" w:rsidRPr="00614315">
          <w:rPr>
            <w:rFonts w:ascii="TheSans" w:eastAsia="Times New Roman" w:hAnsi="TheSans" w:cs="TheSans"/>
            <w:b/>
            <w:color w:val="4F81BD"/>
            <w:sz w:val="24"/>
            <w:szCs w:val="24"/>
            <w:rtl/>
          </w:rPr>
          <w:t>"</w:t>
        </w:r>
      </w:hyperlink>
    </w:p>
    <w:p w14:paraId="7715E344" w14:textId="65BB57F4" w:rsidR="00EB6EE8" w:rsidRPr="00614315" w:rsidRDefault="004074DE" w:rsidP="00614315">
      <w:pPr>
        <w:widowControl w:val="0"/>
        <w:pBdr>
          <w:top w:val="nil"/>
          <w:left w:val="nil"/>
          <w:bottom w:val="nil"/>
          <w:right w:val="nil"/>
          <w:between w:val="nil"/>
        </w:pBdr>
        <w:tabs>
          <w:tab w:val="left" w:pos="709"/>
        </w:tabs>
        <w:spacing w:after="120" w:line="240" w:lineRule="auto"/>
        <w:ind w:left="0" w:hanging="2"/>
        <w:jc w:val="center"/>
        <w:rPr>
          <w:rFonts w:ascii="TheSans" w:eastAsia="Times New Roman" w:hAnsi="TheSans" w:cs="TheSans"/>
          <w:color w:val="00000A"/>
          <w:sz w:val="24"/>
          <w:szCs w:val="24"/>
        </w:rPr>
      </w:pPr>
      <w:hyperlink r:id="rId48">
        <w:r w:rsidR="001C2DB7" w:rsidRPr="00614315">
          <w:rPr>
            <w:rFonts w:ascii="TheSans" w:eastAsia="Times New Roman" w:hAnsi="TheSans" w:cs="TheSans"/>
            <w:b/>
            <w:color w:val="4F81BD"/>
            <w:sz w:val="24"/>
            <w:szCs w:val="24"/>
            <w:rtl/>
          </w:rPr>
          <w:t>للإطلاع</w:t>
        </w:r>
      </w:hyperlink>
      <w:hyperlink r:id="rId49">
        <w:r w:rsidR="001C2DB7" w:rsidRPr="00614315">
          <w:rPr>
            <w:rFonts w:ascii="TheSans" w:eastAsia="Times New Roman" w:hAnsi="TheSans" w:cs="TheSans"/>
            <w:b/>
            <w:color w:val="4F81BD"/>
            <w:sz w:val="24"/>
            <w:szCs w:val="24"/>
            <w:rtl/>
          </w:rPr>
          <w:t xml:space="preserve"> </w:t>
        </w:r>
      </w:hyperlink>
      <w:hyperlink r:id="rId50">
        <w:r w:rsidR="001C2DB7" w:rsidRPr="00614315">
          <w:rPr>
            <w:rFonts w:ascii="TheSans" w:eastAsia="Times New Roman" w:hAnsi="TheSans" w:cs="TheSans"/>
            <w:b/>
            <w:color w:val="4F81BD"/>
            <w:sz w:val="24"/>
            <w:szCs w:val="24"/>
            <w:rtl/>
          </w:rPr>
          <w:t>على</w:t>
        </w:r>
      </w:hyperlink>
      <w:hyperlink r:id="rId51">
        <w:r w:rsidR="001C2DB7" w:rsidRPr="00614315">
          <w:rPr>
            <w:rFonts w:ascii="TheSans" w:eastAsia="Times New Roman" w:hAnsi="TheSans" w:cs="TheSans"/>
            <w:b/>
            <w:color w:val="4F81BD"/>
            <w:sz w:val="24"/>
            <w:szCs w:val="24"/>
            <w:rtl/>
          </w:rPr>
          <w:t xml:space="preserve"> </w:t>
        </w:r>
      </w:hyperlink>
      <w:hyperlink r:id="rId52">
        <w:r w:rsidR="001C2DB7" w:rsidRPr="00614315">
          <w:rPr>
            <w:rFonts w:ascii="TheSans" w:eastAsia="Times New Roman" w:hAnsi="TheSans" w:cs="TheSans"/>
            <w:b/>
            <w:color w:val="4F81BD"/>
            <w:sz w:val="24"/>
            <w:szCs w:val="24"/>
            <w:rtl/>
          </w:rPr>
          <w:t>تقرير</w:t>
        </w:r>
      </w:hyperlink>
      <w:hyperlink r:id="rId53">
        <w:r w:rsidR="001C2DB7" w:rsidRPr="00614315">
          <w:rPr>
            <w:rFonts w:ascii="TheSans" w:eastAsia="Times New Roman" w:hAnsi="TheSans" w:cs="TheSans"/>
            <w:b/>
            <w:color w:val="4F81BD"/>
            <w:sz w:val="24"/>
            <w:szCs w:val="24"/>
            <w:rtl/>
          </w:rPr>
          <w:t xml:space="preserve"> </w:t>
        </w:r>
      </w:hyperlink>
      <w:hyperlink r:id="rId54">
        <w:r w:rsidR="001C2DB7" w:rsidRPr="00614315">
          <w:rPr>
            <w:rFonts w:ascii="TheSans" w:eastAsia="Times New Roman" w:hAnsi="TheSans" w:cs="TheSans"/>
            <w:b/>
            <w:color w:val="4F81BD"/>
            <w:sz w:val="24"/>
            <w:szCs w:val="24"/>
            <w:rtl/>
          </w:rPr>
          <w:t>المسار</w:t>
        </w:r>
      </w:hyperlink>
      <w:hyperlink r:id="rId55">
        <w:r w:rsidR="001C2DB7" w:rsidRPr="00614315">
          <w:rPr>
            <w:rFonts w:ascii="TheSans" w:eastAsia="Times New Roman" w:hAnsi="TheSans" w:cs="TheSans"/>
            <w:b/>
            <w:color w:val="4F81BD"/>
            <w:sz w:val="24"/>
            <w:szCs w:val="24"/>
            <w:rtl/>
          </w:rPr>
          <w:t xml:space="preserve"> </w:t>
        </w:r>
      </w:hyperlink>
      <w:hyperlink r:id="rId56">
        <w:r w:rsidR="001C2DB7" w:rsidRPr="00614315">
          <w:rPr>
            <w:rFonts w:ascii="TheSans" w:eastAsia="Times New Roman" w:hAnsi="TheSans" w:cs="TheSans"/>
            <w:b/>
            <w:color w:val="4F81BD"/>
            <w:sz w:val="24"/>
            <w:szCs w:val="24"/>
            <w:rtl/>
          </w:rPr>
          <w:t>الديمقراطي</w:t>
        </w:r>
      </w:hyperlink>
      <w:hyperlink r:id="rId57">
        <w:r w:rsidR="001C2DB7" w:rsidRPr="00614315">
          <w:rPr>
            <w:rFonts w:ascii="TheSans" w:eastAsia="Times New Roman" w:hAnsi="TheSans" w:cs="TheSans"/>
            <w:b/>
            <w:color w:val="4F81BD"/>
            <w:sz w:val="24"/>
            <w:szCs w:val="24"/>
            <w:rtl/>
          </w:rPr>
          <w:t xml:space="preserve"> </w:t>
        </w:r>
      </w:hyperlink>
      <w:hyperlink r:id="rId58">
        <w:r w:rsidR="001C2DB7" w:rsidRPr="00614315">
          <w:rPr>
            <w:rFonts w:ascii="TheSans" w:eastAsia="Times New Roman" w:hAnsi="TheSans" w:cs="TheSans"/>
            <w:b/>
            <w:color w:val="4F81BD"/>
            <w:sz w:val="24"/>
            <w:szCs w:val="24"/>
            <w:rtl/>
          </w:rPr>
          <w:t>خلال</w:t>
        </w:r>
      </w:hyperlink>
      <w:hyperlink r:id="rId59">
        <w:r w:rsidR="001C2DB7" w:rsidRPr="00614315">
          <w:rPr>
            <w:rFonts w:ascii="TheSans" w:eastAsia="Times New Roman" w:hAnsi="TheSans" w:cs="TheSans"/>
            <w:b/>
            <w:color w:val="4F81BD"/>
            <w:sz w:val="24"/>
            <w:szCs w:val="24"/>
            <w:rtl/>
          </w:rPr>
          <w:t xml:space="preserve"> </w:t>
        </w:r>
      </w:hyperlink>
      <w:hyperlink r:id="rId60">
        <w:r w:rsidR="001C2DB7" w:rsidRPr="00614315">
          <w:rPr>
            <w:rFonts w:ascii="TheSans" w:eastAsia="Times New Roman" w:hAnsi="TheSans" w:cs="TheSans"/>
            <w:b/>
            <w:color w:val="4F81BD"/>
            <w:sz w:val="24"/>
            <w:szCs w:val="24"/>
            <w:rtl/>
          </w:rPr>
          <w:t>عام</w:t>
        </w:r>
      </w:hyperlink>
      <w:hyperlink r:id="rId61">
        <w:r w:rsidR="001C2DB7" w:rsidRPr="00614315">
          <w:rPr>
            <w:rFonts w:ascii="TheSans" w:eastAsia="Times New Roman" w:hAnsi="TheSans" w:cs="TheSans"/>
            <w:b/>
            <w:color w:val="4F81BD"/>
            <w:sz w:val="24"/>
            <w:szCs w:val="24"/>
            <w:rtl/>
          </w:rPr>
          <w:t xml:space="preserve"> 2015"</w:t>
        </w:r>
      </w:hyperlink>
      <w:hyperlink r:id="rId62">
        <w:r w:rsidR="001C2DB7" w:rsidRPr="00614315">
          <w:rPr>
            <w:rFonts w:ascii="TheSans" w:eastAsia="Times New Roman" w:hAnsi="TheSans" w:cs="TheSans"/>
            <w:b/>
            <w:color w:val="4F81BD"/>
            <w:sz w:val="24"/>
            <w:szCs w:val="24"/>
            <w:rtl/>
          </w:rPr>
          <w:t>خطوة</w:t>
        </w:r>
      </w:hyperlink>
      <w:hyperlink r:id="rId63">
        <w:r w:rsidR="001C2DB7" w:rsidRPr="00614315">
          <w:rPr>
            <w:rFonts w:ascii="TheSans" w:eastAsia="Times New Roman" w:hAnsi="TheSans" w:cs="TheSans"/>
            <w:b/>
            <w:color w:val="4F81BD"/>
            <w:sz w:val="24"/>
            <w:szCs w:val="24"/>
            <w:rtl/>
          </w:rPr>
          <w:t xml:space="preserve"> </w:t>
        </w:r>
      </w:hyperlink>
      <w:hyperlink r:id="rId64">
        <w:r w:rsidR="001C2DB7" w:rsidRPr="00614315">
          <w:rPr>
            <w:rFonts w:ascii="TheSans" w:eastAsia="Times New Roman" w:hAnsi="TheSans" w:cs="TheSans"/>
            <w:b/>
            <w:color w:val="4F81BD"/>
            <w:sz w:val="24"/>
            <w:szCs w:val="24"/>
            <w:rtl/>
          </w:rPr>
          <w:t>للخلف</w:t>
        </w:r>
      </w:hyperlink>
      <w:hyperlink r:id="rId65">
        <w:r w:rsidR="001C2DB7" w:rsidRPr="00614315">
          <w:rPr>
            <w:rFonts w:ascii="TheSans" w:eastAsia="Times New Roman" w:hAnsi="TheSans" w:cs="TheSans"/>
            <w:b/>
            <w:color w:val="4F81BD"/>
            <w:sz w:val="24"/>
            <w:szCs w:val="24"/>
            <w:rtl/>
          </w:rPr>
          <w:t xml:space="preserve">، </w:t>
        </w:r>
      </w:hyperlink>
      <w:hyperlink r:id="rId66">
        <w:r w:rsidR="001C2DB7" w:rsidRPr="00614315">
          <w:rPr>
            <w:rFonts w:ascii="TheSans" w:eastAsia="Times New Roman" w:hAnsi="TheSans" w:cs="TheSans"/>
            <w:b/>
            <w:color w:val="4F81BD"/>
            <w:sz w:val="24"/>
            <w:szCs w:val="24"/>
            <w:rtl/>
          </w:rPr>
          <w:t>خطوتان</w:t>
        </w:r>
      </w:hyperlink>
      <w:hyperlink r:id="rId67">
        <w:r w:rsidR="001C2DB7" w:rsidRPr="00614315">
          <w:rPr>
            <w:rFonts w:ascii="TheSans" w:eastAsia="Times New Roman" w:hAnsi="TheSans" w:cs="TheSans"/>
            <w:b/>
            <w:color w:val="4F81BD"/>
            <w:sz w:val="24"/>
            <w:szCs w:val="24"/>
            <w:rtl/>
          </w:rPr>
          <w:t xml:space="preserve"> </w:t>
        </w:r>
      </w:hyperlink>
      <w:hyperlink r:id="rId68">
        <w:r w:rsidR="001C2DB7" w:rsidRPr="00614315">
          <w:rPr>
            <w:rFonts w:ascii="TheSans" w:eastAsia="Times New Roman" w:hAnsi="TheSans" w:cs="TheSans"/>
            <w:b/>
            <w:color w:val="4F81BD"/>
            <w:sz w:val="24"/>
            <w:szCs w:val="24"/>
            <w:rtl/>
          </w:rPr>
          <w:t>للوراء</w:t>
        </w:r>
      </w:hyperlink>
      <w:hyperlink r:id="rId69">
        <w:r w:rsidR="001C2DB7" w:rsidRPr="00614315">
          <w:rPr>
            <w:rFonts w:ascii="TheSans" w:eastAsia="Times New Roman" w:hAnsi="TheSans" w:cs="TheSans"/>
            <w:b/>
            <w:color w:val="4F81BD"/>
            <w:sz w:val="24"/>
            <w:szCs w:val="24"/>
            <w:rtl/>
          </w:rPr>
          <w:t>"</w:t>
        </w:r>
      </w:hyperlink>
    </w:p>
    <w:p w14:paraId="1DBCA36A" w14:textId="7DD76CF1" w:rsidR="00EB6EE8" w:rsidRPr="00614315" w:rsidRDefault="004074DE" w:rsidP="00614315">
      <w:pPr>
        <w:widowControl w:val="0"/>
        <w:pBdr>
          <w:top w:val="nil"/>
          <w:left w:val="nil"/>
          <w:bottom w:val="nil"/>
          <w:right w:val="nil"/>
          <w:between w:val="nil"/>
        </w:pBdr>
        <w:tabs>
          <w:tab w:val="left" w:pos="709"/>
        </w:tabs>
        <w:spacing w:after="120" w:line="240" w:lineRule="auto"/>
        <w:ind w:left="0" w:hanging="2"/>
        <w:jc w:val="center"/>
        <w:rPr>
          <w:rFonts w:ascii="TheSans" w:eastAsia="Times New Roman" w:hAnsi="TheSans" w:cs="TheSans"/>
          <w:color w:val="00000A"/>
          <w:sz w:val="24"/>
          <w:szCs w:val="24"/>
        </w:rPr>
      </w:pPr>
      <w:hyperlink r:id="rId70">
        <w:r w:rsidR="001C2DB7" w:rsidRPr="00614315">
          <w:rPr>
            <w:rFonts w:ascii="TheSans" w:eastAsia="Times New Roman" w:hAnsi="TheSans" w:cs="TheSans"/>
            <w:b/>
            <w:color w:val="4F81BD"/>
            <w:sz w:val="24"/>
            <w:szCs w:val="24"/>
            <w:rtl/>
          </w:rPr>
          <w:t>للإطلاع</w:t>
        </w:r>
      </w:hyperlink>
      <w:hyperlink r:id="rId71">
        <w:r w:rsidR="001C2DB7" w:rsidRPr="00614315">
          <w:rPr>
            <w:rFonts w:ascii="TheSans" w:eastAsia="Times New Roman" w:hAnsi="TheSans" w:cs="TheSans"/>
            <w:b/>
            <w:color w:val="4F81BD"/>
            <w:sz w:val="24"/>
            <w:szCs w:val="24"/>
            <w:rtl/>
          </w:rPr>
          <w:t xml:space="preserve"> </w:t>
        </w:r>
      </w:hyperlink>
      <w:hyperlink r:id="rId72">
        <w:r w:rsidR="001C2DB7" w:rsidRPr="00614315">
          <w:rPr>
            <w:rFonts w:ascii="TheSans" w:eastAsia="Times New Roman" w:hAnsi="TheSans" w:cs="TheSans"/>
            <w:b/>
            <w:color w:val="4F81BD"/>
            <w:sz w:val="24"/>
            <w:szCs w:val="24"/>
            <w:rtl/>
          </w:rPr>
          <w:t>على</w:t>
        </w:r>
      </w:hyperlink>
      <w:hyperlink r:id="rId73">
        <w:r w:rsidR="001C2DB7" w:rsidRPr="00614315">
          <w:rPr>
            <w:rFonts w:ascii="TheSans" w:eastAsia="Times New Roman" w:hAnsi="TheSans" w:cs="TheSans"/>
            <w:b/>
            <w:color w:val="4F81BD"/>
            <w:sz w:val="24"/>
            <w:szCs w:val="24"/>
            <w:rtl/>
          </w:rPr>
          <w:t xml:space="preserve"> </w:t>
        </w:r>
      </w:hyperlink>
      <w:hyperlink r:id="rId74">
        <w:r w:rsidR="001C2DB7" w:rsidRPr="00614315">
          <w:rPr>
            <w:rFonts w:ascii="TheSans" w:eastAsia="Times New Roman" w:hAnsi="TheSans" w:cs="TheSans"/>
            <w:b/>
            <w:color w:val="4F81BD"/>
            <w:sz w:val="24"/>
            <w:szCs w:val="24"/>
            <w:rtl/>
          </w:rPr>
          <w:t>تقرير</w:t>
        </w:r>
      </w:hyperlink>
      <w:hyperlink r:id="rId75">
        <w:r w:rsidR="001C2DB7" w:rsidRPr="00614315">
          <w:rPr>
            <w:rFonts w:ascii="TheSans" w:eastAsia="Times New Roman" w:hAnsi="TheSans" w:cs="TheSans"/>
            <w:b/>
            <w:color w:val="4F81BD"/>
            <w:sz w:val="24"/>
            <w:szCs w:val="24"/>
            <w:rtl/>
          </w:rPr>
          <w:t xml:space="preserve"> </w:t>
        </w:r>
      </w:hyperlink>
      <w:hyperlink r:id="rId76">
        <w:r w:rsidR="001C2DB7" w:rsidRPr="00614315">
          <w:rPr>
            <w:rFonts w:ascii="TheSans" w:eastAsia="Times New Roman" w:hAnsi="TheSans" w:cs="TheSans"/>
            <w:b/>
            <w:color w:val="4F81BD"/>
            <w:sz w:val="24"/>
            <w:szCs w:val="24"/>
            <w:rtl/>
          </w:rPr>
          <w:t>المسار</w:t>
        </w:r>
      </w:hyperlink>
      <w:hyperlink r:id="rId77">
        <w:r w:rsidR="001C2DB7" w:rsidRPr="00614315">
          <w:rPr>
            <w:rFonts w:ascii="TheSans" w:eastAsia="Times New Roman" w:hAnsi="TheSans" w:cs="TheSans"/>
            <w:b/>
            <w:color w:val="4F81BD"/>
            <w:sz w:val="24"/>
            <w:szCs w:val="24"/>
            <w:rtl/>
          </w:rPr>
          <w:t xml:space="preserve"> </w:t>
        </w:r>
      </w:hyperlink>
      <w:hyperlink r:id="rId78">
        <w:r w:rsidR="001C2DB7" w:rsidRPr="00614315">
          <w:rPr>
            <w:rFonts w:ascii="TheSans" w:eastAsia="Times New Roman" w:hAnsi="TheSans" w:cs="TheSans"/>
            <w:b/>
            <w:color w:val="4F81BD"/>
            <w:sz w:val="24"/>
            <w:szCs w:val="24"/>
            <w:rtl/>
          </w:rPr>
          <w:t>الديمقراطي</w:t>
        </w:r>
      </w:hyperlink>
      <w:hyperlink r:id="rId79">
        <w:r w:rsidR="001C2DB7" w:rsidRPr="00614315">
          <w:rPr>
            <w:rFonts w:ascii="TheSans" w:eastAsia="Times New Roman" w:hAnsi="TheSans" w:cs="TheSans"/>
            <w:b/>
            <w:color w:val="4F81BD"/>
            <w:sz w:val="24"/>
            <w:szCs w:val="24"/>
            <w:rtl/>
          </w:rPr>
          <w:t xml:space="preserve"> </w:t>
        </w:r>
      </w:hyperlink>
      <w:hyperlink r:id="rId80">
        <w:r w:rsidR="001C2DB7" w:rsidRPr="00614315">
          <w:rPr>
            <w:rFonts w:ascii="TheSans" w:eastAsia="Times New Roman" w:hAnsi="TheSans" w:cs="TheSans"/>
            <w:b/>
            <w:color w:val="4F81BD"/>
            <w:sz w:val="24"/>
            <w:szCs w:val="24"/>
            <w:rtl/>
          </w:rPr>
          <w:t>خلال</w:t>
        </w:r>
      </w:hyperlink>
      <w:hyperlink r:id="rId81">
        <w:r w:rsidR="001C2DB7" w:rsidRPr="00614315">
          <w:rPr>
            <w:rFonts w:ascii="TheSans" w:eastAsia="Times New Roman" w:hAnsi="TheSans" w:cs="TheSans"/>
            <w:b/>
            <w:color w:val="4F81BD"/>
            <w:sz w:val="24"/>
            <w:szCs w:val="24"/>
            <w:rtl/>
          </w:rPr>
          <w:t xml:space="preserve"> </w:t>
        </w:r>
      </w:hyperlink>
      <w:hyperlink r:id="rId82">
        <w:r w:rsidR="001C2DB7" w:rsidRPr="00614315">
          <w:rPr>
            <w:rFonts w:ascii="TheSans" w:eastAsia="Times New Roman" w:hAnsi="TheSans" w:cs="TheSans"/>
            <w:b/>
            <w:color w:val="4F81BD"/>
            <w:sz w:val="24"/>
            <w:szCs w:val="24"/>
            <w:rtl/>
          </w:rPr>
          <w:t>عام</w:t>
        </w:r>
      </w:hyperlink>
      <w:hyperlink r:id="rId83">
        <w:r w:rsidR="001C2DB7" w:rsidRPr="00614315">
          <w:rPr>
            <w:rFonts w:ascii="TheSans" w:eastAsia="Times New Roman" w:hAnsi="TheSans" w:cs="TheSans"/>
            <w:b/>
            <w:color w:val="4F81BD"/>
            <w:sz w:val="24"/>
            <w:szCs w:val="24"/>
            <w:rtl/>
          </w:rPr>
          <w:t xml:space="preserve"> 2016"</w:t>
        </w:r>
      </w:hyperlink>
      <w:hyperlink r:id="rId84">
        <w:r w:rsidR="001C2DB7" w:rsidRPr="00614315">
          <w:rPr>
            <w:rFonts w:ascii="TheSans" w:eastAsia="Times New Roman" w:hAnsi="TheSans" w:cs="TheSans"/>
            <w:b/>
            <w:color w:val="4F81BD"/>
            <w:sz w:val="24"/>
            <w:szCs w:val="24"/>
            <w:rtl/>
          </w:rPr>
          <w:t>مغلق</w:t>
        </w:r>
      </w:hyperlink>
      <w:hyperlink r:id="rId85">
        <w:r w:rsidR="001C2DB7" w:rsidRPr="00614315">
          <w:rPr>
            <w:rFonts w:ascii="TheSans" w:eastAsia="Times New Roman" w:hAnsi="TheSans" w:cs="TheSans"/>
            <w:b/>
            <w:color w:val="4F81BD"/>
            <w:sz w:val="24"/>
            <w:szCs w:val="24"/>
            <w:rtl/>
          </w:rPr>
          <w:t xml:space="preserve"> </w:t>
        </w:r>
      </w:hyperlink>
      <w:hyperlink r:id="rId86">
        <w:r w:rsidR="001C2DB7" w:rsidRPr="00614315">
          <w:rPr>
            <w:rFonts w:ascii="TheSans" w:eastAsia="Times New Roman" w:hAnsi="TheSans" w:cs="TheSans"/>
            <w:b/>
            <w:color w:val="4F81BD"/>
            <w:sz w:val="24"/>
            <w:szCs w:val="24"/>
            <w:rtl/>
          </w:rPr>
          <w:t>لحين</w:t>
        </w:r>
      </w:hyperlink>
      <w:hyperlink r:id="rId87">
        <w:r w:rsidR="001C2DB7" w:rsidRPr="00614315">
          <w:rPr>
            <w:rFonts w:ascii="TheSans" w:eastAsia="Times New Roman" w:hAnsi="TheSans" w:cs="TheSans"/>
            <w:b/>
            <w:color w:val="4F81BD"/>
            <w:sz w:val="24"/>
            <w:szCs w:val="24"/>
            <w:rtl/>
          </w:rPr>
          <w:t xml:space="preserve"> </w:t>
        </w:r>
      </w:hyperlink>
      <w:hyperlink r:id="rId88">
        <w:r w:rsidR="001C2DB7" w:rsidRPr="00614315">
          <w:rPr>
            <w:rFonts w:ascii="TheSans" w:eastAsia="Times New Roman" w:hAnsi="TheSans" w:cs="TheSans"/>
            <w:b/>
            <w:color w:val="4F81BD"/>
            <w:sz w:val="24"/>
            <w:szCs w:val="24"/>
            <w:rtl/>
          </w:rPr>
          <w:t>إشعار</w:t>
        </w:r>
      </w:hyperlink>
      <w:hyperlink r:id="rId89">
        <w:r w:rsidR="001C2DB7" w:rsidRPr="00614315">
          <w:rPr>
            <w:rFonts w:ascii="TheSans" w:eastAsia="Times New Roman" w:hAnsi="TheSans" w:cs="TheSans"/>
            <w:b/>
            <w:color w:val="4F81BD"/>
            <w:sz w:val="24"/>
            <w:szCs w:val="24"/>
            <w:rtl/>
          </w:rPr>
          <w:t xml:space="preserve"> </w:t>
        </w:r>
      </w:hyperlink>
      <w:hyperlink r:id="rId90">
        <w:r w:rsidR="001C2DB7" w:rsidRPr="00614315">
          <w:rPr>
            <w:rFonts w:ascii="TheSans" w:eastAsia="Times New Roman" w:hAnsi="TheSans" w:cs="TheSans"/>
            <w:b/>
            <w:color w:val="4F81BD"/>
            <w:sz w:val="24"/>
            <w:szCs w:val="24"/>
            <w:rtl/>
          </w:rPr>
          <w:t>أخر</w:t>
        </w:r>
      </w:hyperlink>
      <w:hyperlink r:id="rId91">
        <w:r w:rsidR="001C2DB7" w:rsidRPr="00614315">
          <w:rPr>
            <w:rFonts w:ascii="TheSans" w:eastAsia="Times New Roman" w:hAnsi="TheSans" w:cs="TheSans"/>
            <w:b/>
            <w:color w:val="4F81BD"/>
            <w:sz w:val="24"/>
            <w:szCs w:val="24"/>
            <w:rtl/>
          </w:rPr>
          <w:t>"</w:t>
        </w:r>
      </w:hyperlink>
    </w:p>
    <w:p w14:paraId="68D5C8C9" w14:textId="73E35A7D" w:rsidR="00EB6EE8" w:rsidRPr="00614315" w:rsidRDefault="004074DE" w:rsidP="00614315">
      <w:pPr>
        <w:widowControl w:val="0"/>
        <w:pBdr>
          <w:top w:val="nil"/>
          <w:left w:val="nil"/>
          <w:bottom w:val="nil"/>
          <w:right w:val="nil"/>
          <w:between w:val="nil"/>
        </w:pBdr>
        <w:tabs>
          <w:tab w:val="left" w:pos="709"/>
        </w:tabs>
        <w:spacing w:after="120" w:line="240" w:lineRule="auto"/>
        <w:ind w:left="0" w:hanging="2"/>
        <w:jc w:val="center"/>
        <w:rPr>
          <w:rFonts w:ascii="TheSans" w:eastAsia="Times New Roman" w:hAnsi="TheSans" w:cs="TheSans"/>
          <w:color w:val="4A86E8"/>
          <w:sz w:val="24"/>
          <w:szCs w:val="24"/>
        </w:rPr>
      </w:pPr>
      <w:hyperlink r:id="rId92">
        <w:r w:rsidR="001C2DB7" w:rsidRPr="00614315">
          <w:rPr>
            <w:rFonts w:ascii="TheSans" w:eastAsia="Times New Roman" w:hAnsi="TheSans" w:cs="TheSans"/>
            <w:b/>
            <w:color w:val="4A86E8"/>
            <w:sz w:val="24"/>
            <w:szCs w:val="24"/>
            <w:rtl/>
          </w:rPr>
          <w:t>للإطلاع</w:t>
        </w:r>
      </w:hyperlink>
      <w:hyperlink r:id="rId93">
        <w:r w:rsidR="001C2DB7" w:rsidRPr="00614315">
          <w:rPr>
            <w:rFonts w:ascii="TheSans" w:eastAsia="Times New Roman" w:hAnsi="TheSans" w:cs="TheSans"/>
            <w:b/>
            <w:color w:val="4A86E8"/>
            <w:sz w:val="24"/>
            <w:szCs w:val="24"/>
            <w:rtl/>
          </w:rPr>
          <w:t xml:space="preserve"> </w:t>
        </w:r>
      </w:hyperlink>
      <w:hyperlink r:id="rId94">
        <w:r w:rsidR="001C2DB7" w:rsidRPr="00614315">
          <w:rPr>
            <w:rFonts w:ascii="TheSans" w:eastAsia="Times New Roman" w:hAnsi="TheSans" w:cs="TheSans"/>
            <w:b/>
            <w:color w:val="4A86E8"/>
            <w:sz w:val="24"/>
            <w:szCs w:val="24"/>
            <w:rtl/>
          </w:rPr>
          <w:t>على</w:t>
        </w:r>
      </w:hyperlink>
      <w:hyperlink r:id="rId95">
        <w:r w:rsidR="001C2DB7" w:rsidRPr="00614315">
          <w:rPr>
            <w:rFonts w:ascii="TheSans" w:eastAsia="Times New Roman" w:hAnsi="TheSans" w:cs="TheSans"/>
            <w:b/>
            <w:color w:val="4A86E8"/>
            <w:sz w:val="24"/>
            <w:szCs w:val="24"/>
            <w:rtl/>
          </w:rPr>
          <w:t xml:space="preserve"> </w:t>
        </w:r>
      </w:hyperlink>
      <w:hyperlink r:id="rId96">
        <w:r w:rsidR="001C2DB7" w:rsidRPr="00614315">
          <w:rPr>
            <w:rFonts w:ascii="TheSans" w:eastAsia="Times New Roman" w:hAnsi="TheSans" w:cs="TheSans"/>
            <w:b/>
            <w:color w:val="4A86E8"/>
            <w:sz w:val="24"/>
            <w:szCs w:val="24"/>
            <w:rtl/>
          </w:rPr>
          <w:t>تقرير</w:t>
        </w:r>
      </w:hyperlink>
      <w:hyperlink r:id="rId97">
        <w:r w:rsidR="001C2DB7" w:rsidRPr="00614315">
          <w:rPr>
            <w:rFonts w:ascii="TheSans" w:eastAsia="Times New Roman" w:hAnsi="TheSans" w:cs="TheSans"/>
            <w:b/>
            <w:color w:val="4A86E8"/>
            <w:sz w:val="24"/>
            <w:szCs w:val="24"/>
            <w:rtl/>
          </w:rPr>
          <w:t xml:space="preserve"> </w:t>
        </w:r>
      </w:hyperlink>
      <w:hyperlink r:id="rId98">
        <w:r w:rsidR="001C2DB7" w:rsidRPr="00614315">
          <w:rPr>
            <w:rFonts w:ascii="TheSans" w:eastAsia="Times New Roman" w:hAnsi="TheSans" w:cs="TheSans"/>
            <w:b/>
            <w:color w:val="4A86E8"/>
            <w:sz w:val="24"/>
            <w:szCs w:val="24"/>
            <w:rtl/>
          </w:rPr>
          <w:t>المسار</w:t>
        </w:r>
      </w:hyperlink>
      <w:hyperlink r:id="rId99">
        <w:r w:rsidR="001C2DB7" w:rsidRPr="00614315">
          <w:rPr>
            <w:rFonts w:ascii="TheSans" w:eastAsia="Times New Roman" w:hAnsi="TheSans" w:cs="TheSans"/>
            <w:b/>
            <w:color w:val="4A86E8"/>
            <w:sz w:val="24"/>
            <w:szCs w:val="24"/>
            <w:rtl/>
          </w:rPr>
          <w:t xml:space="preserve"> </w:t>
        </w:r>
      </w:hyperlink>
      <w:hyperlink r:id="rId100">
        <w:r w:rsidR="001C2DB7" w:rsidRPr="00614315">
          <w:rPr>
            <w:rFonts w:ascii="TheSans" w:eastAsia="Times New Roman" w:hAnsi="TheSans" w:cs="TheSans"/>
            <w:b/>
            <w:color w:val="4A86E8"/>
            <w:sz w:val="24"/>
            <w:szCs w:val="24"/>
            <w:rtl/>
          </w:rPr>
          <w:t>الديمقراطي</w:t>
        </w:r>
      </w:hyperlink>
      <w:hyperlink r:id="rId101">
        <w:r w:rsidR="001C2DB7" w:rsidRPr="00614315">
          <w:rPr>
            <w:rFonts w:ascii="TheSans" w:eastAsia="Times New Roman" w:hAnsi="TheSans" w:cs="TheSans"/>
            <w:b/>
            <w:color w:val="4A86E8"/>
            <w:sz w:val="24"/>
            <w:szCs w:val="24"/>
            <w:rtl/>
          </w:rPr>
          <w:t xml:space="preserve"> </w:t>
        </w:r>
      </w:hyperlink>
      <w:hyperlink r:id="rId102">
        <w:r w:rsidR="001C2DB7" w:rsidRPr="00614315">
          <w:rPr>
            <w:rFonts w:ascii="TheSans" w:eastAsia="Times New Roman" w:hAnsi="TheSans" w:cs="TheSans"/>
            <w:b/>
            <w:color w:val="4A86E8"/>
            <w:sz w:val="24"/>
            <w:szCs w:val="24"/>
            <w:rtl/>
          </w:rPr>
          <w:t>خلال</w:t>
        </w:r>
      </w:hyperlink>
      <w:hyperlink r:id="rId103">
        <w:r w:rsidR="001C2DB7" w:rsidRPr="00614315">
          <w:rPr>
            <w:rFonts w:ascii="TheSans" w:eastAsia="Times New Roman" w:hAnsi="TheSans" w:cs="TheSans"/>
            <w:b/>
            <w:color w:val="4A86E8"/>
            <w:sz w:val="24"/>
            <w:szCs w:val="24"/>
            <w:rtl/>
          </w:rPr>
          <w:t xml:space="preserve"> </w:t>
        </w:r>
      </w:hyperlink>
      <w:hyperlink r:id="rId104">
        <w:r w:rsidR="001C2DB7" w:rsidRPr="00614315">
          <w:rPr>
            <w:rFonts w:ascii="TheSans" w:eastAsia="Times New Roman" w:hAnsi="TheSans" w:cs="TheSans"/>
            <w:b/>
            <w:color w:val="4A86E8"/>
            <w:sz w:val="24"/>
            <w:szCs w:val="24"/>
            <w:rtl/>
          </w:rPr>
          <w:t>عام</w:t>
        </w:r>
      </w:hyperlink>
      <w:hyperlink r:id="rId105">
        <w:r w:rsidR="001C2DB7" w:rsidRPr="00614315">
          <w:rPr>
            <w:rFonts w:ascii="TheSans" w:eastAsia="Times New Roman" w:hAnsi="TheSans" w:cs="TheSans"/>
            <w:b/>
            <w:color w:val="4A86E8"/>
            <w:sz w:val="24"/>
            <w:szCs w:val="24"/>
            <w:rtl/>
          </w:rPr>
          <w:t xml:space="preserve"> 2017 "</w:t>
        </w:r>
      </w:hyperlink>
      <w:hyperlink r:id="rId106">
        <w:r w:rsidR="001C2DB7" w:rsidRPr="00614315">
          <w:rPr>
            <w:rFonts w:ascii="TheSans" w:eastAsia="Times New Roman" w:hAnsi="TheSans" w:cs="TheSans"/>
            <w:b/>
            <w:color w:val="4A86E8"/>
            <w:sz w:val="24"/>
            <w:szCs w:val="24"/>
            <w:rtl/>
          </w:rPr>
          <w:t>شديد</w:t>
        </w:r>
      </w:hyperlink>
      <w:hyperlink r:id="rId107">
        <w:r w:rsidR="001C2DB7" w:rsidRPr="00614315">
          <w:rPr>
            <w:rFonts w:ascii="TheSans" w:eastAsia="Times New Roman" w:hAnsi="TheSans" w:cs="TheSans"/>
            <w:b/>
            <w:color w:val="4A86E8"/>
            <w:sz w:val="24"/>
            <w:szCs w:val="24"/>
            <w:rtl/>
          </w:rPr>
          <w:t xml:space="preserve"> </w:t>
        </w:r>
      </w:hyperlink>
      <w:hyperlink r:id="rId108">
        <w:r w:rsidR="001C2DB7" w:rsidRPr="00614315">
          <w:rPr>
            <w:rFonts w:ascii="TheSans" w:eastAsia="Times New Roman" w:hAnsi="TheSans" w:cs="TheSans"/>
            <w:b/>
            <w:color w:val="4A86E8"/>
            <w:sz w:val="24"/>
            <w:szCs w:val="24"/>
            <w:rtl/>
          </w:rPr>
          <w:t>الانحدار</w:t>
        </w:r>
      </w:hyperlink>
      <w:hyperlink r:id="rId109">
        <w:r w:rsidR="001C2DB7" w:rsidRPr="00614315">
          <w:rPr>
            <w:rFonts w:ascii="TheSans" w:eastAsia="Times New Roman" w:hAnsi="TheSans" w:cs="TheSans"/>
            <w:b/>
            <w:color w:val="4A86E8"/>
            <w:sz w:val="24"/>
            <w:szCs w:val="24"/>
            <w:rtl/>
          </w:rPr>
          <w:t>"</w:t>
        </w:r>
      </w:hyperlink>
    </w:p>
    <w:p w14:paraId="6C84B875" w14:textId="5794F4E8" w:rsidR="00EB6EE8" w:rsidRPr="00614315" w:rsidRDefault="004074DE" w:rsidP="00614315">
      <w:pPr>
        <w:widowControl w:val="0"/>
        <w:pBdr>
          <w:top w:val="nil"/>
          <w:left w:val="nil"/>
          <w:bottom w:val="nil"/>
          <w:right w:val="nil"/>
          <w:between w:val="nil"/>
        </w:pBdr>
        <w:tabs>
          <w:tab w:val="left" w:pos="709"/>
        </w:tabs>
        <w:spacing w:after="120" w:line="240" w:lineRule="auto"/>
        <w:ind w:left="0" w:hanging="2"/>
        <w:jc w:val="center"/>
        <w:rPr>
          <w:rFonts w:ascii="TheSans" w:eastAsia="Times New Roman" w:hAnsi="TheSans" w:cs="TheSans"/>
          <w:color w:val="4A86E8"/>
          <w:sz w:val="24"/>
          <w:szCs w:val="24"/>
        </w:rPr>
      </w:pPr>
      <w:hyperlink r:id="rId110">
        <w:r w:rsidR="001C2DB7" w:rsidRPr="00614315">
          <w:rPr>
            <w:rFonts w:ascii="TheSans" w:eastAsia="Times New Roman" w:hAnsi="TheSans" w:cs="TheSans"/>
            <w:b/>
            <w:color w:val="4A86E8"/>
            <w:sz w:val="24"/>
            <w:szCs w:val="24"/>
            <w:rtl/>
          </w:rPr>
          <w:t>للإطلاع</w:t>
        </w:r>
      </w:hyperlink>
      <w:hyperlink r:id="rId111">
        <w:r w:rsidR="001C2DB7" w:rsidRPr="00614315">
          <w:rPr>
            <w:rFonts w:ascii="TheSans" w:eastAsia="Times New Roman" w:hAnsi="TheSans" w:cs="TheSans"/>
            <w:b/>
            <w:color w:val="4A86E8"/>
            <w:sz w:val="24"/>
            <w:szCs w:val="24"/>
            <w:rtl/>
          </w:rPr>
          <w:t xml:space="preserve"> </w:t>
        </w:r>
      </w:hyperlink>
      <w:hyperlink r:id="rId112">
        <w:r w:rsidR="001C2DB7" w:rsidRPr="00614315">
          <w:rPr>
            <w:rFonts w:ascii="TheSans" w:eastAsia="Times New Roman" w:hAnsi="TheSans" w:cs="TheSans"/>
            <w:b/>
            <w:color w:val="4A86E8"/>
            <w:sz w:val="24"/>
            <w:szCs w:val="24"/>
            <w:rtl/>
          </w:rPr>
          <w:t>على</w:t>
        </w:r>
      </w:hyperlink>
      <w:hyperlink r:id="rId113">
        <w:r w:rsidR="001C2DB7" w:rsidRPr="00614315">
          <w:rPr>
            <w:rFonts w:ascii="TheSans" w:eastAsia="Times New Roman" w:hAnsi="TheSans" w:cs="TheSans"/>
            <w:b/>
            <w:color w:val="4A86E8"/>
            <w:sz w:val="24"/>
            <w:szCs w:val="24"/>
            <w:rtl/>
          </w:rPr>
          <w:t xml:space="preserve"> </w:t>
        </w:r>
      </w:hyperlink>
      <w:hyperlink r:id="rId114">
        <w:r w:rsidR="001C2DB7" w:rsidRPr="00614315">
          <w:rPr>
            <w:rFonts w:ascii="TheSans" w:eastAsia="Times New Roman" w:hAnsi="TheSans" w:cs="TheSans"/>
            <w:b/>
            <w:color w:val="4A86E8"/>
            <w:sz w:val="24"/>
            <w:szCs w:val="24"/>
            <w:rtl/>
          </w:rPr>
          <w:t>تقرير</w:t>
        </w:r>
      </w:hyperlink>
      <w:hyperlink r:id="rId115">
        <w:r w:rsidR="001C2DB7" w:rsidRPr="00614315">
          <w:rPr>
            <w:rFonts w:ascii="TheSans" w:eastAsia="Times New Roman" w:hAnsi="TheSans" w:cs="TheSans"/>
            <w:b/>
            <w:color w:val="4A86E8"/>
            <w:sz w:val="24"/>
            <w:szCs w:val="24"/>
            <w:rtl/>
          </w:rPr>
          <w:t xml:space="preserve"> </w:t>
        </w:r>
      </w:hyperlink>
      <w:hyperlink r:id="rId116">
        <w:r w:rsidR="001C2DB7" w:rsidRPr="00614315">
          <w:rPr>
            <w:rFonts w:ascii="TheSans" w:eastAsia="Times New Roman" w:hAnsi="TheSans" w:cs="TheSans"/>
            <w:b/>
            <w:color w:val="4A86E8"/>
            <w:sz w:val="24"/>
            <w:szCs w:val="24"/>
            <w:rtl/>
          </w:rPr>
          <w:t>المسار</w:t>
        </w:r>
      </w:hyperlink>
      <w:hyperlink r:id="rId117">
        <w:r w:rsidR="001C2DB7" w:rsidRPr="00614315">
          <w:rPr>
            <w:rFonts w:ascii="TheSans" w:eastAsia="Times New Roman" w:hAnsi="TheSans" w:cs="TheSans"/>
            <w:b/>
            <w:color w:val="4A86E8"/>
            <w:sz w:val="24"/>
            <w:szCs w:val="24"/>
            <w:rtl/>
          </w:rPr>
          <w:t xml:space="preserve"> </w:t>
        </w:r>
      </w:hyperlink>
      <w:hyperlink r:id="rId118">
        <w:r w:rsidR="001C2DB7" w:rsidRPr="00614315">
          <w:rPr>
            <w:rFonts w:ascii="TheSans" w:eastAsia="Times New Roman" w:hAnsi="TheSans" w:cs="TheSans"/>
            <w:b/>
            <w:color w:val="4A86E8"/>
            <w:sz w:val="24"/>
            <w:szCs w:val="24"/>
            <w:rtl/>
          </w:rPr>
          <w:t>الديمقراطي</w:t>
        </w:r>
      </w:hyperlink>
      <w:hyperlink r:id="rId119">
        <w:r w:rsidR="001C2DB7" w:rsidRPr="00614315">
          <w:rPr>
            <w:rFonts w:ascii="TheSans" w:eastAsia="Times New Roman" w:hAnsi="TheSans" w:cs="TheSans"/>
            <w:b/>
            <w:color w:val="4A86E8"/>
            <w:sz w:val="24"/>
            <w:szCs w:val="24"/>
            <w:rtl/>
          </w:rPr>
          <w:t xml:space="preserve"> </w:t>
        </w:r>
      </w:hyperlink>
      <w:hyperlink r:id="rId120">
        <w:r w:rsidR="001C2DB7" w:rsidRPr="00614315">
          <w:rPr>
            <w:rFonts w:ascii="TheSans" w:eastAsia="Times New Roman" w:hAnsi="TheSans" w:cs="TheSans"/>
            <w:b/>
            <w:color w:val="4A86E8"/>
            <w:sz w:val="24"/>
            <w:szCs w:val="24"/>
            <w:rtl/>
          </w:rPr>
          <w:t>خلال</w:t>
        </w:r>
      </w:hyperlink>
      <w:hyperlink r:id="rId121">
        <w:r w:rsidR="001C2DB7" w:rsidRPr="00614315">
          <w:rPr>
            <w:rFonts w:ascii="TheSans" w:eastAsia="Times New Roman" w:hAnsi="TheSans" w:cs="TheSans"/>
            <w:b/>
            <w:color w:val="4A86E8"/>
            <w:sz w:val="24"/>
            <w:szCs w:val="24"/>
            <w:rtl/>
          </w:rPr>
          <w:t xml:space="preserve"> </w:t>
        </w:r>
      </w:hyperlink>
      <w:hyperlink r:id="rId122">
        <w:r w:rsidR="001C2DB7" w:rsidRPr="00614315">
          <w:rPr>
            <w:rFonts w:ascii="TheSans" w:eastAsia="Times New Roman" w:hAnsi="TheSans" w:cs="TheSans"/>
            <w:b/>
            <w:color w:val="4A86E8"/>
            <w:sz w:val="24"/>
            <w:szCs w:val="24"/>
            <w:rtl/>
          </w:rPr>
          <w:t>عام</w:t>
        </w:r>
      </w:hyperlink>
      <w:hyperlink r:id="rId123">
        <w:r w:rsidR="001C2DB7" w:rsidRPr="00614315">
          <w:rPr>
            <w:rFonts w:ascii="TheSans" w:eastAsia="Times New Roman" w:hAnsi="TheSans" w:cs="TheSans"/>
            <w:b/>
            <w:color w:val="4A86E8"/>
            <w:sz w:val="24"/>
            <w:szCs w:val="24"/>
            <w:rtl/>
          </w:rPr>
          <w:t xml:space="preserve"> 2018 "</w:t>
        </w:r>
      </w:hyperlink>
      <w:hyperlink r:id="rId124">
        <w:r w:rsidR="001C2DB7" w:rsidRPr="00614315">
          <w:rPr>
            <w:rFonts w:ascii="TheSans" w:eastAsia="Times New Roman" w:hAnsi="TheSans" w:cs="TheSans"/>
            <w:b/>
            <w:color w:val="4A86E8"/>
            <w:sz w:val="24"/>
            <w:szCs w:val="24"/>
            <w:rtl/>
          </w:rPr>
          <w:t>غضب</w:t>
        </w:r>
      </w:hyperlink>
      <w:hyperlink r:id="rId125">
        <w:r w:rsidR="001C2DB7" w:rsidRPr="00614315">
          <w:rPr>
            <w:rFonts w:ascii="TheSans" w:eastAsia="Times New Roman" w:hAnsi="TheSans" w:cs="TheSans"/>
            <w:b/>
            <w:color w:val="4A86E8"/>
            <w:sz w:val="24"/>
            <w:szCs w:val="24"/>
            <w:rtl/>
          </w:rPr>
          <w:t xml:space="preserve"> </w:t>
        </w:r>
      </w:hyperlink>
      <w:hyperlink r:id="rId126">
        <w:r w:rsidR="001C2DB7" w:rsidRPr="00614315">
          <w:rPr>
            <w:rFonts w:ascii="TheSans" w:eastAsia="Times New Roman" w:hAnsi="TheSans" w:cs="TheSans"/>
            <w:b/>
            <w:color w:val="4A86E8"/>
            <w:sz w:val="24"/>
            <w:szCs w:val="24"/>
            <w:rtl/>
          </w:rPr>
          <w:t>متصاعد</w:t>
        </w:r>
      </w:hyperlink>
      <w:hyperlink r:id="rId127">
        <w:r w:rsidR="001C2DB7" w:rsidRPr="00614315">
          <w:rPr>
            <w:rFonts w:ascii="TheSans" w:eastAsia="Times New Roman" w:hAnsi="TheSans" w:cs="TheSans"/>
            <w:b/>
            <w:color w:val="4A86E8"/>
            <w:sz w:val="24"/>
            <w:szCs w:val="24"/>
            <w:rtl/>
          </w:rPr>
          <w:t>"</w:t>
        </w:r>
      </w:hyperlink>
    </w:p>
    <w:p w14:paraId="3AA560DB" w14:textId="5956298A" w:rsidR="00EB6EE8" w:rsidRPr="00614315" w:rsidRDefault="004074DE" w:rsidP="00614315">
      <w:pPr>
        <w:widowControl w:val="0"/>
        <w:pBdr>
          <w:top w:val="nil"/>
          <w:left w:val="nil"/>
          <w:bottom w:val="nil"/>
          <w:right w:val="nil"/>
          <w:between w:val="nil"/>
        </w:pBdr>
        <w:tabs>
          <w:tab w:val="left" w:pos="709"/>
        </w:tabs>
        <w:spacing w:after="120" w:line="240" w:lineRule="auto"/>
        <w:ind w:left="0" w:hanging="2"/>
        <w:jc w:val="center"/>
        <w:rPr>
          <w:rFonts w:ascii="TheSans" w:eastAsia="Times New Roman" w:hAnsi="TheSans" w:cs="TheSans"/>
          <w:color w:val="4A86E8"/>
          <w:sz w:val="24"/>
          <w:szCs w:val="24"/>
        </w:rPr>
      </w:pPr>
      <w:hyperlink r:id="rId128">
        <w:r w:rsidR="001C2DB7" w:rsidRPr="00614315">
          <w:rPr>
            <w:rFonts w:ascii="TheSans" w:eastAsia="Times New Roman" w:hAnsi="TheSans" w:cs="TheSans"/>
            <w:b/>
            <w:color w:val="4A86E8"/>
            <w:sz w:val="24"/>
            <w:szCs w:val="24"/>
            <w:rtl/>
          </w:rPr>
          <w:t>للإطلاع</w:t>
        </w:r>
      </w:hyperlink>
      <w:hyperlink r:id="rId129">
        <w:r w:rsidR="001C2DB7" w:rsidRPr="00614315">
          <w:rPr>
            <w:rFonts w:ascii="TheSans" w:eastAsia="Times New Roman" w:hAnsi="TheSans" w:cs="TheSans"/>
            <w:b/>
            <w:color w:val="4A86E8"/>
            <w:sz w:val="24"/>
            <w:szCs w:val="24"/>
            <w:rtl/>
          </w:rPr>
          <w:t xml:space="preserve"> </w:t>
        </w:r>
      </w:hyperlink>
      <w:hyperlink r:id="rId130">
        <w:r w:rsidR="001C2DB7" w:rsidRPr="00614315">
          <w:rPr>
            <w:rFonts w:ascii="TheSans" w:eastAsia="Times New Roman" w:hAnsi="TheSans" w:cs="TheSans"/>
            <w:b/>
            <w:color w:val="4A86E8"/>
            <w:sz w:val="24"/>
            <w:szCs w:val="24"/>
            <w:rtl/>
          </w:rPr>
          <w:t>على</w:t>
        </w:r>
      </w:hyperlink>
      <w:hyperlink r:id="rId131">
        <w:r w:rsidR="001C2DB7" w:rsidRPr="00614315">
          <w:rPr>
            <w:rFonts w:ascii="TheSans" w:eastAsia="Times New Roman" w:hAnsi="TheSans" w:cs="TheSans"/>
            <w:b/>
            <w:color w:val="4A86E8"/>
            <w:sz w:val="24"/>
            <w:szCs w:val="24"/>
            <w:rtl/>
          </w:rPr>
          <w:t xml:space="preserve"> </w:t>
        </w:r>
      </w:hyperlink>
      <w:hyperlink r:id="rId132">
        <w:r w:rsidR="001C2DB7" w:rsidRPr="00614315">
          <w:rPr>
            <w:rFonts w:ascii="TheSans" w:eastAsia="Times New Roman" w:hAnsi="TheSans" w:cs="TheSans"/>
            <w:b/>
            <w:color w:val="4A86E8"/>
            <w:sz w:val="24"/>
            <w:szCs w:val="24"/>
            <w:rtl/>
          </w:rPr>
          <w:t>تقرير</w:t>
        </w:r>
      </w:hyperlink>
      <w:hyperlink r:id="rId133">
        <w:r w:rsidR="001C2DB7" w:rsidRPr="00614315">
          <w:rPr>
            <w:rFonts w:ascii="TheSans" w:eastAsia="Times New Roman" w:hAnsi="TheSans" w:cs="TheSans"/>
            <w:b/>
            <w:color w:val="4A86E8"/>
            <w:sz w:val="24"/>
            <w:szCs w:val="24"/>
            <w:rtl/>
          </w:rPr>
          <w:t xml:space="preserve"> </w:t>
        </w:r>
      </w:hyperlink>
      <w:hyperlink r:id="rId134">
        <w:r w:rsidR="001C2DB7" w:rsidRPr="00614315">
          <w:rPr>
            <w:rFonts w:ascii="TheSans" w:eastAsia="Times New Roman" w:hAnsi="TheSans" w:cs="TheSans"/>
            <w:b/>
            <w:color w:val="4A86E8"/>
            <w:sz w:val="24"/>
            <w:szCs w:val="24"/>
            <w:rtl/>
          </w:rPr>
          <w:t>المسار</w:t>
        </w:r>
      </w:hyperlink>
      <w:hyperlink r:id="rId135">
        <w:r w:rsidR="001C2DB7" w:rsidRPr="00614315">
          <w:rPr>
            <w:rFonts w:ascii="TheSans" w:eastAsia="Times New Roman" w:hAnsi="TheSans" w:cs="TheSans"/>
            <w:b/>
            <w:color w:val="4A86E8"/>
            <w:sz w:val="24"/>
            <w:szCs w:val="24"/>
            <w:rtl/>
          </w:rPr>
          <w:t xml:space="preserve"> </w:t>
        </w:r>
      </w:hyperlink>
      <w:hyperlink r:id="rId136">
        <w:r w:rsidR="001C2DB7" w:rsidRPr="00614315">
          <w:rPr>
            <w:rFonts w:ascii="TheSans" w:eastAsia="Times New Roman" w:hAnsi="TheSans" w:cs="TheSans"/>
            <w:b/>
            <w:color w:val="4A86E8"/>
            <w:sz w:val="24"/>
            <w:szCs w:val="24"/>
            <w:rtl/>
          </w:rPr>
          <w:t>الديمقراطي</w:t>
        </w:r>
      </w:hyperlink>
      <w:hyperlink r:id="rId137">
        <w:r w:rsidR="001C2DB7" w:rsidRPr="00614315">
          <w:rPr>
            <w:rFonts w:ascii="TheSans" w:eastAsia="Times New Roman" w:hAnsi="TheSans" w:cs="TheSans"/>
            <w:b/>
            <w:color w:val="4A86E8"/>
            <w:sz w:val="24"/>
            <w:szCs w:val="24"/>
            <w:rtl/>
          </w:rPr>
          <w:t xml:space="preserve"> </w:t>
        </w:r>
      </w:hyperlink>
      <w:hyperlink r:id="rId138">
        <w:r w:rsidR="001C2DB7" w:rsidRPr="00614315">
          <w:rPr>
            <w:rFonts w:ascii="TheSans" w:eastAsia="Times New Roman" w:hAnsi="TheSans" w:cs="TheSans"/>
            <w:b/>
            <w:color w:val="4A86E8"/>
            <w:sz w:val="24"/>
            <w:szCs w:val="24"/>
            <w:rtl/>
          </w:rPr>
          <w:t>خلال</w:t>
        </w:r>
      </w:hyperlink>
      <w:hyperlink r:id="rId139">
        <w:r w:rsidR="001C2DB7" w:rsidRPr="00614315">
          <w:rPr>
            <w:rFonts w:ascii="TheSans" w:eastAsia="Times New Roman" w:hAnsi="TheSans" w:cs="TheSans"/>
            <w:b/>
            <w:color w:val="4A86E8"/>
            <w:sz w:val="24"/>
            <w:szCs w:val="24"/>
            <w:rtl/>
          </w:rPr>
          <w:t xml:space="preserve"> </w:t>
        </w:r>
      </w:hyperlink>
      <w:hyperlink r:id="rId140">
        <w:r w:rsidR="001C2DB7" w:rsidRPr="00614315">
          <w:rPr>
            <w:rFonts w:ascii="TheSans" w:eastAsia="Times New Roman" w:hAnsi="TheSans" w:cs="TheSans"/>
            <w:b/>
            <w:color w:val="4A86E8"/>
            <w:sz w:val="24"/>
            <w:szCs w:val="24"/>
            <w:rtl/>
          </w:rPr>
          <w:t>عام</w:t>
        </w:r>
      </w:hyperlink>
      <w:hyperlink r:id="rId141">
        <w:r w:rsidR="001C2DB7" w:rsidRPr="00614315">
          <w:rPr>
            <w:rFonts w:ascii="TheSans" w:eastAsia="Times New Roman" w:hAnsi="TheSans" w:cs="TheSans"/>
            <w:b/>
            <w:color w:val="4A86E8"/>
            <w:sz w:val="24"/>
            <w:szCs w:val="24"/>
            <w:rtl/>
          </w:rPr>
          <w:t xml:space="preserve"> 2019 "</w:t>
        </w:r>
      </w:hyperlink>
      <w:hyperlink r:id="rId142">
        <w:r w:rsidR="001C2DB7" w:rsidRPr="00614315">
          <w:rPr>
            <w:rFonts w:ascii="TheSans" w:eastAsia="Times New Roman" w:hAnsi="TheSans" w:cs="TheSans"/>
            <w:b/>
            <w:color w:val="4A86E8"/>
            <w:sz w:val="24"/>
            <w:szCs w:val="24"/>
            <w:rtl/>
          </w:rPr>
          <w:t>قليل</w:t>
        </w:r>
      </w:hyperlink>
      <w:hyperlink r:id="rId143">
        <w:r w:rsidR="001C2DB7" w:rsidRPr="00614315">
          <w:rPr>
            <w:rFonts w:ascii="TheSans" w:eastAsia="Times New Roman" w:hAnsi="TheSans" w:cs="TheSans"/>
            <w:b/>
            <w:color w:val="4A86E8"/>
            <w:sz w:val="24"/>
            <w:szCs w:val="24"/>
            <w:rtl/>
          </w:rPr>
          <w:t xml:space="preserve"> </w:t>
        </w:r>
      </w:hyperlink>
      <w:hyperlink r:id="rId144">
        <w:r w:rsidR="001C2DB7" w:rsidRPr="00614315">
          <w:rPr>
            <w:rFonts w:ascii="TheSans" w:eastAsia="Times New Roman" w:hAnsi="TheSans" w:cs="TheSans"/>
            <w:b/>
            <w:color w:val="4A86E8"/>
            <w:sz w:val="24"/>
            <w:szCs w:val="24"/>
            <w:rtl/>
          </w:rPr>
          <w:t>من</w:t>
        </w:r>
      </w:hyperlink>
      <w:hyperlink r:id="rId145">
        <w:r w:rsidR="001C2DB7" w:rsidRPr="00614315">
          <w:rPr>
            <w:rFonts w:ascii="TheSans" w:eastAsia="Times New Roman" w:hAnsi="TheSans" w:cs="TheSans"/>
            <w:b/>
            <w:color w:val="4A86E8"/>
            <w:sz w:val="24"/>
            <w:szCs w:val="24"/>
            <w:rtl/>
          </w:rPr>
          <w:t xml:space="preserve"> </w:t>
        </w:r>
      </w:hyperlink>
      <w:hyperlink r:id="rId146">
        <w:r w:rsidR="001C2DB7" w:rsidRPr="00614315">
          <w:rPr>
            <w:rFonts w:ascii="TheSans" w:eastAsia="Times New Roman" w:hAnsi="TheSans" w:cs="TheSans"/>
            <w:b/>
            <w:color w:val="4A86E8"/>
            <w:sz w:val="24"/>
            <w:szCs w:val="24"/>
            <w:rtl/>
          </w:rPr>
          <w:t>الأمل</w:t>
        </w:r>
      </w:hyperlink>
      <w:hyperlink r:id="rId147">
        <w:r w:rsidR="001C2DB7" w:rsidRPr="00614315">
          <w:rPr>
            <w:rFonts w:ascii="TheSans" w:eastAsia="Times New Roman" w:hAnsi="TheSans" w:cs="TheSans"/>
            <w:b/>
            <w:color w:val="4A86E8"/>
            <w:sz w:val="24"/>
            <w:szCs w:val="24"/>
            <w:rtl/>
          </w:rPr>
          <w:t xml:space="preserve">, </w:t>
        </w:r>
      </w:hyperlink>
      <w:hyperlink r:id="rId148">
        <w:r w:rsidR="001C2DB7" w:rsidRPr="00614315">
          <w:rPr>
            <w:rFonts w:ascii="TheSans" w:eastAsia="Times New Roman" w:hAnsi="TheSans" w:cs="TheSans"/>
            <w:b/>
            <w:color w:val="4A86E8"/>
            <w:sz w:val="24"/>
            <w:szCs w:val="24"/>
            <w:rtl/>
          </w:rPr>
          <w:t>كثير</w:t>
        </w:r>
      </w:hyperlink>
      <w:hyperlink r:id="rId149">
        <w:r w:rsidR="001C2DB7" w:rsidRPr="00614315">
          <w:rPr>
            <w:rFonts w:ascii="TheSans" w:eastAsia="Times New Roman" w:hAnsi="TheSans" w:cs="TheSans"/>
            <w:b/>
            <w:color w:val="4A86E8"/>
            <w:sz w:val="24"/>
            <w:szCs w:val="24"/>
            <w:rtl/>
          </w:rPr>
          <w:t xml:space="preserve"> </w:t>
        </w:r>
      </w:hyperlink>
      <w:hyperlink r:id="rId150">
        <w:r w:rsidR="001C2DB7" w:rsidRPr="00614315">
          <w:rPr>
            <w:rFonts w:ascii="TheSans" w:eastAsia="Times New Roman" w:hAnsi="TheSans" w:cs="TheSans"/>
            <w:b/>
            <w:color w:val="4A86E8"/>
            <w:sz w:val="24"/>
            <w:szCs w:val="24"/>
            <w:rtl/>
          </w:rPr>
          <w:t>من</w:t>
        </w:r>
      </w:hyperlink>
      <w:hyperlink r:id="rId151">
        <w:r w:rsidR="001C2DB7" w:rsidRPr="00614315">
          <w:rPr>
            <w:rFonts w:ascii="TheSans" w:eastAsia="Times New Roman" w:hAnsi="TheSans" w:cs="TheSans"/>
            <w:b/>
            <w:color w:val="4A86E8"/>
            <w:sz w:val="24"/>
            <w:szCs w:val="24"/>
            <w:rtl/>
          </w:rPr>
          <w:t xml:space="preserve"> </w:t>
        </w:r>
      </w:hyperlink>
      <w:hyperlink r:id="rId152">
        <w:r w:rsidR="001C2DB7" w:rsidRPr="00614315">
          <w:rPr>
            <w:rFonts w:ascii="TheSans" w:eastAsia="Times New Roman" w:hAnsi="TheSans" w:cs="TheSans"/>
            <w:b/>
            <w:color w:val="4A86E8"/>
            <w:sz w:val="24"/>
            <w:szCs w:val="24"/>
            <w:rtl/>
          </w:rPr>
          <w:t>اليأس</w:t>
        </w:r>
      </w:hyperlink>
      <w:hyperlink r:id="rId153">
        <w:r w:rsidR="001C2DB7" w:rsidRPr="00614315">
          <w:rPr>
            <w:rFonts w:ascii="TheSans" w:eastAsia="Times New Roman" w:hAnsi="TheSans" w:cs="TheSans"/>
            <w:b/>
            <w:color w:val="4A86E8"/>
            <w:sz w:val="24"/>
            <w:szCs w:val="24"/>
            <w:rtl/>
          </w:rPr>
          <w:t>"</w:t>
        </w:r>
      </w:hyperlink>
    </w:p>
    <w:p w14:paraId="7581913D" w14:textId="59846D0C" w:rsidR="00EB6EE8" w:rsidRPr="00614315" w:rsidRDefault="00614315" w:rsidP="00614315">
      <w:pPr>
        <w:pBdr>
          <w:top w:val="nil"/>
          <w:left w:val="nil"/>
          <w:bottom w:val="nil"/>
          <w:right w:val="nil"/>
          <w:between w:val="nil"/>
        </w:pBdr>
        <w:ind w:left="0" w:hanging="2"/>
        <w:jc w:val="center"/>
        <w:rPr>
          <w:rFonts w:ascii="Times New Roman" w:eastAsia="Times New Roman" w:hAnsi="Times New Roman" w:cs="Times New Roman"/>
          <w:color w:val="3D85C6"/>
          <w:sz w:val="24"/>
          <w:szCs w:val="24"/>
        </w:rPr>
      </w:pPr>
      <w:r>
        <w:rPr>
          <w:rFonts w:ascii="Times New Roman" w:eastAsia="Times New Roman" w:hAnsi="Times New Roman" w:cs="Times New Roman"/>
          <w:noProof/>
          <w:color w:val="3D85C6"/>
          <w:sz w:val="24"/>
          <w:szCs w:val="24"/>
        </w:rPr>
        <w:drawing>
          <wp:anchor distT="0" distB="0" distL="114300" distR="114300" simplePos="0" relativeHeight="251660288" behindDoc="1" locked="0" layoutInCell="1" allowOverlap="1" wp14:anchorId="041AA1BF" wp14:editId="48583E00">
            <wp:simplePos x="0" y="0"/>
            <wp:positionH relativeFrom="page">
              <wp:align>left</wp:align>
            </wp:positionH>
            <wp:positionV relativeFrom="paragraph">
              <wp:posOffset>1177811</wp:posOffset>
            </wp:positionV>
            <wp:extent cx="3497423" cy="3329548"/>
            <wp:effectExtent l="0" t="0" r="825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4">
                      <a:extLst>
                        <a:ext uri="{28A0092B-C50C-407E-A947-70E740481C1C}">
                          <a14:useLocalDpi xmlns:a14="http://schemas.microsoft.com/office/drawing/2010/main" val="0"/>
                        </a:ext>
                      </a:extLst>
                    </a:blip>
                    <a:stretch>
                      <a:fillRect/>
                    </a:stretch>
                  </pic:blipFill>
                  <pic:spPr>
                    <a:xfrm>
                      <a:off x="0" y="0"/>
                      <a:ext cx="3497423" cy="3329548"/>
                    </a:xfrm>
                    <a:prstGeom prst="rect">
                      <a:avLst/>
                    </a:prstGeom>
                  </pic:spPr>
                </pic:pic>
              </a:graphicData>
            </a:graphic>
            <wp14:sizeRelH relativeFrom="margin">
              <wp14:pctWidth>0</wp14:pctWidth>
            </wp14:sizeRelH>
            <wp14:sizeRelV relativeFrom="margin">
              <wp14:pctHeight>0</wp14:pctHeight>
            </wp14:sizeRelV>
          </wp:anchor>
        </w:drawing>
      </w:r>
      <w:hyperlink r:id="rId155">
        <w:r w:rsidR="001C2DB7" w:rsidRPr="00614315">
          <w:rPr>
            <w:rFonts w:ascii="TheSans" w:eastAsia="Times New Roman" w:hAnsi="TheSans" w:cs="TheSans"/>
            <w:b/>
            <w:color w:val="3D85C6"/>
            <w:sz w:val="24"/>
            <w:szCs w:val="24"/>
            <w:rtl/>
          </w:rPr>
          <w:t>للإطلاع</w:t>
        </w:r>
      </w:hyperlink>
      <w:hyperlink r:id="rId156">
        <w:r w:rsidR="001C2DB7" w:rsidRPr="00614315">
          <w:rPr>
            <w:rFonts w:ascii="TheSans" w:eastAsia="Times New Roman" w:hAnsi="TheSans" w:cs="TheSans"/>
            <w:b/>
            <w:color w:val="3D85C6"/>
            <w:sz w:val="24"/>
            <w:szCs w:val="24"/>
            <w:rtl/>
          </w:rPr>
          <w:t xml:space="preserve"> </w:t>
        </w:r>
      </w:hyperlink>
      <w:hyperlink r:id="rId157">
        <w:r w:rsidR="001C2DB7" w:rsidRPr="00614315">
          <w:rPr>
            <w:rFonts w:ascii="TheSans" w:eastAsia="Times New Roman" w:hAnsi="TheSans" w:cs="TheSans"/>
            <w:b/>
            <w:color w:val="3D85C6"/>
            <w:sz w:val="24"/>
            <w:szCs w:val="24"/>
            <w:rtl/>
          </w:rPr>
          <w:t>على</w:t>
        </w:r>
      </w:hyperlink>
      <w:hyperlink r:id="rId158">
        <w:r w:rsidR="001C2DB7" w:rsidRPr="00614315">
          <w:rPr>
            <w:rFonts w:ascii="TheSans" w:eastAsia="Times New Roman" w:hAnsi="TheSans" w:cs="TheSans"/>
            <w:b/>
            <w:color w:val="3D85C6"/>
            <w:sz w:val="24"/>
            <w:szCs w:val="24"/>
            <w:rtl/>
          </w:rPr>
          <w:t xml:space="preserve"> </w:t>
        </w:r>
      </w:hyperlink>
      <w:hyperlink r:id="rId159">
        <w:r w:rsidR="001C2DB7" w:rsidRPr="00614315">
          <w:rPr>
            <w:rFonts w:ascii="TheSans" w:eastAsia="Times New Roman" w:hAnsi="TheSans" w:cs="TheSans"/>
            <w:b/>
            <w:color w:val="3D85C6"/>
            <w:sz w:val="24"/>
            <w:szCs w:val="24"/>
            <w:rtl/>
          </w:rPr>
          <w:t>تقرير</w:t>
        </w:r>
      </w:hyperlink>
      <w:hyperlink r:id="rId160">
        <w:r w:rsidR="001C2DB7" w:rsidRPr="00614315">
          <w:rPr>
            <w:rFonts w:ascii="TheSans" w:eastAsia="Times New Roman" w:hAnsi="TheSans" w:cs="TheSans"/>
            <w:b/>
            <w:color w:val="3D85C6"/>
            <w:sz w:val="24"/>
            <w:szCs w:val="24"/>
            <w:rtl/>
          </w:rPr>
          <w:t xml:space="preserve"> </w:t>
        </w:r>
      </w:hyperlink>
      <w:hyperlink r:id="rId161">
        <w:r w:rsidR="001C2DB7" w:rsidRPr="00614315">
          <w:rPr>
            <w:rFonts w:ascii="TheSans" w:eastAsia="Times New Roman" w:hAnsi="TheSans" w:cs="TheSans"/>
            <w:b/>
            <w:color w:val="3D85C6"/>
            <w:sz w:val="24"/>
            <w:szCs w:val="24"/>
            <w:rtl/>
          </w:rPr>
          <w:t>المسار</w:t>
        </w:r>
      </w:hyperlink>
      <w:hyperlink r:id="rId162">
        <w:r w:rsidR="001C2DB7" w:rsidRPr="00614315">
          <w:rPr>
            <w:rFonts w:ascii="TheSans" w:eastAsia="Times New Roman" w:hAnsi="TheSans" w:cs="TheSans"/>
            <w:b/>
            <w:color w:val="3D85C6"/>
            <w:sz w:val="24"/>
            <w:szCs w:val="24"/>
            <w:rtl/>
          </w:rPr>
          <w:t xml:space="preserve"> </w:t>
        </w:r>
      </w:hyperlink>
      <w:hyperlink r:id="rId163">
        <w:r w:rsidR="001C2DB7" w:rsidRPr="00614315">
          <w:rPr>
            <w:rFonts w:ascii="TheSans" w:eastAsia="Times New Roman" w:hAnsi="TheSans" w:cs="TheSans"/>
            <w:b/>
            <w:color w:val="3D85C6"/>
            <w:sz w:val="24"/>
            <w:szCs w:val="24"/>
            <w:rtl/>
          </w:rPr>
          <w:t>الديمقراطي</w:t>
        </w:r>
      </w:hyperlink>
      <w:hyperlink r:id="rId164">
        <w:r w:rsidR="001C2DB7" w:rsidRPr="00614315">
          <w:rPr>
            <w:rFonts w:ascii="TheSans" w:eastAsia="Times New Roman" w:hAnsi="TheSans" w:cs="TheSans"/>
            <w:b/>
            <w:color w:val="3D85C6"/>
            <w:sz w:val="24"/>
            <w:szCs w:val="24"/>
            <w:rtl/>
          </w:rPr>
          <w:t xml:space="preserve"> </w:t>
        </w:r>
      </w:hyperlink>
      <w:hyperlink r:id="rId165">
        <w:r w:rsidR="001C2DB7" w:rsidRPr="00614315">
          <w:rPr>
            <w:rFonts w:ascii="TheSans" w:eastAsia="Times New Roman" w:hAnsi="TheSans" w:cs="TheSans"/>
            <w:b/>
            <w:color w:val="3D85C6"/>
            <w:sz w:val="24"/>
            <w:szCs w:val="24"/>
            <w:rtl/>
          </w:rPr>
          <w:t>خلال</w:t>
        </w:r>
      </w:hyperlink>
      <w:hyperlink r:id="rId166">
        <w:r w:rsidR="001C2DB7" w:rsidRPr="00614315">
          <w:rPr>
            <w:rFonts w:ascii="TheSans" w:eastAsia="Times New Roman" w:hAnsi="TheSans" w:cs="TheSans"/>
            <w:b/>
            <w:color w:val="3D85C6"/>
            <w:sz w:val="24"/>
            <w:szCs w:val="24"/>
            <w:rtl/>
          </w:rPr>
          <w:t xml:space="preserve"> </w:t>
        </w:r>
      </w:hyperlink>
      <w:hyperlink r:id="rId167">
        <w:r w:rsidR="001C2DB7" w:rsidRPr="00614315">
          <w:rPr>
            <w:rFonts w:ascii="TheSans" w:eastAsia="Times New Roman" w:hAnsi="TheSans" w:cs="TheSans"/>
            <w:b/>
            <w:color w:val="3D85C6"/>
            <w:sz w:val="24"/>
            <w:szCs w:val="24"/>
            <w:rtl/>
          </w:rPr>
          <w:t>عام</w:t>
        </w:r>
      </w:hyperlink>
      <w:hyperlink r:id="rId168">
        <w:r w:rsidR="001C2DB7" w:rsidRPr="00614315">
          <w:rPr>
            <w:rFonts w:ascii="TheSans" w:eastAsia="Times New Roman" w:hAnsi="TheSans" w:cs="TheSans"/>
            <w:b/>
            <w:color w:val="3D85C6"/>
            <w:sz w:val="24"/>
            <w:szCs w:val="24"/>
            <w:rtl/>
          </w:rPr>
          <w:t xml:space="preserve"> 2020</w:t>
        </w:r>
        <w:r w:rsidR="001C2DB7" w:rsidRPr="00614315">
          <w:rPr>
            <w:rFonts w:ascii="Times New Roman" w:eastAsia="Times New Roman" w:hAnsi="Times New Roman" w:cs="Times New Roman"/>
            <w:b/>
            <w:color w:val="3D85C6"/>
            <w:sz w:val="24"/>
            <w:szCs w:val="24"/>
            <w:rtl/>
          </w:rPr>
          <w:t xml:space="preserve"> </w:t>
        </w:r>
      </w:hyperlink>
    </w:p>
    <w:sectPr w:rsidR="00EB6EE8" w:rsidRPr="00614315">
      <w:headerReference w:type="even" r:id="rId169"/>
      <w:headerReference w:type="default" r:id="rId170"/>
      <w:footerReference w:type="even" r:id="rId171"/>
      <w:footerReference w:type="default" r:id="rId172"/>
      <w:headerReference w:type="first" r:id="rId173"/>
      <w:footerReference w:type="first" r:id="rId17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D5E4E" w14:textId="77777777" w:rsidR="00742C09" w:rsidRDefault="00742C09" w:rsidP="000F4F1D">
      <w:pPr>
        <w:spacing w:line="240" w:lineRule="auto"/>
        <w:ind w:left="0" w:hanging="2"/>
      </w:pPr>
      <w:r>
        <w:separator/>
      </w:r>
    </w:p>
  </w:endnote>
  <w:endnote w:type="continuationSeparator" w:id="0">
    <w:p w14:paraId="4860101D" w14:textId="77777777" w:rsidR="00742C09" w:rsidRDefault="00742C09" w:rsidP="000F4F1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 Arslan Wessam B">
    <w:panose1 w:val="03020402040406030203"/>
    <w:charset w:val="00"/>
    <w:family w:val="script"/>
    <w:pitch w:val="variable"/>
    <w:sig w:usb0="80002063" w:usb1="80002040" w:usb2="00000008" w:usb3="00000000" w:csb0="00000041" w:csb1="00000000"/>
  </w:font>
  <w:font w:name="TheSans">
    <w:panose1 w:val="020B0503040302020203"/>
    <w:charset w:val="00"/>
    <w:family w:val="swiss"/>
    <w:notTrueType/>
    <w:pitch w:val="variable"/>
    <w:sig w:usb0="8000202F" w:usb1="8000004A" w:usb2="00000008" w:usb3="00000000" w:csb0="0000004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B4A39" w14:textId="77777777" w:rsidR="000F4F1D" w:rsidRDefault="000F4F1D">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0CFAE" w14:textId="77777777" w:rsidR="000F4F1D" w:rsidRDefault="000F4F1D">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27DD9" w14:textId="77777777" w:rsidR="000F4F1D" w:rsidRDefault="000F4F1D">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CC4BE" w14:textId="77777777" w:rsidR="00742C09" w:rsidRDefault="00742C09" w:rsidP="000F4F1D">
      <w:pPr>
        <w:spacing w:line="240" w:lineRule="auto"/>
        <w:ind w:left="0" w:hanging="2"/>
      </w:pPr>
      <w:r>
        <w:separator/>
      </w:r>
    </w:p>
  </w:footnote>
  <w:footnote w:type="continuationSeparator" w:id="0">
    <w:p w14:paraId="75802185" w14:textId="77777777" w:rsidR="00742C09" w:rsidRDefault="00742C09" w:rsidP="000F4F1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122DF" w14:textId="11C0F7E4" w:rsidR="000F4F1D" w:rsidRDefault="000F4F1D">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14D4" w14:textId="32F2B328" w:rsidR="000F4F1D" w:rsidRDefault="000F4F1D">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23926" w14:textId="413E654C" w:rsidR="000F4F1D" w:rsidRDefault="000F4F1D">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90F52"/>
    <w:multiLevelType w:val="multilevel"/>
    <w:tmpl w:val="FB720DCC"/>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 w15:restartNumberingAfterBreak="0">
    <w:nsid w:val="1F5B2A2D"/>
    <w:multiLevelType w:val="multilevel"/>
    <w:tmpl w:val="8CB6C4DE"/>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2" w15:restartNumberingAfterBreak="0">
    <w:nsid w:val="30131546"/>
    <w:multiLevelType w:val="multilevel"/>
    <w:tmpl w:val="99FA8A48"/>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3" w15:restartNumberingAfterBreak="0">
    <w:nsid w:val="3BE03DCB"/>
    <w:multiLevelType w:val="multilevel"/>
    <w:tmpl w:val="AC4C4BD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 w15:restartNumberingAfterBreak="0">
    <w:nsid w:val="62FF204D"/>
    <w:multiLevelType w:val="multilevel"/>
    <w:tmpl w:val="D8B8908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EE8"/>
    <w:rsid w:val="000F4F1D"/>
    <w:rsid w:val="001C2DB7"/>
    <w:rsid w:val="003E1110"/>
    <w:rsid w:val="004074DE"/>
    <w:rsid w:val="00614315"/>
    <w:rsid w:val="006535FB"/>
    <w:rsid w:val="00742C09"/>
    <w:rsid w:val="00832613"/>
    <w:rsid w:val="008A3604"/>
    <w:rsid w:val="00A14F5E"/>
    <w:rsid w:val="00A46CDB"/>
    <w:rsid w:val="00A600B7"/>
    <w:rsid w:val="00EB6EE8"/>
    <w:rsid w:val="00ED1793"/>
    <w:rsid w:val="00F67679"/>
    <w:rsid w:val="00F77B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3916E"/>
  <w15:docId w15:val="{8BCC8521-A0FA-4BFF-8F6F-59199719D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bidi/>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00" w:after="12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ind w:left="0" w:firstLine="0"/>
    </w:pPr>
    <w:rPr>
      <w:color w:val="666666"/>
      <w:sz w:val="30"/>
      <w:szCs w:val="30"/>
    </w:rPr>
  </w:style>
  <w:style w:type="table" w:customStyle="1" w:styleId="31">
    <w:name w:val="3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30">
    <w:name w:val="3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29">
    <w:name w:val="29"/>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90" w:type="dxa"/>
        <w:bottom w:w="100" w:type="dxa"/>
        <w:right w:w="100" w:type="dxa"/>
      </w:tblCellMar>
    </w:tblPr>
  </w:style>
  <w:style w:type="table" w:customStyle="1" w:styleId="28">
    <w:name w:val="28"/>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90" w:type="dxa"/>
        <w:bottom w:w="100" w:type="dxa"/>
        <w:right w:w="100" w:type="dxa"/>
      </w:tblCellMar>
    </w:tblPr>
  </w:style>
  <w:style w:type="table" w:customStyle="1" w:styleId="27">
    <w:name w:val="27"/>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90" w:type="dxa"/>
        <w:bottom w:w="100" w:type="dxa"/>
        <w:right w:w="100" w:type="dxa"/>
      </w:tblCellMar>
    </w:tblPr>
  </w:style>
  <w:style w:type="table" w:customStyle="1" w:styleId="26">
    <w:name w:val="26"/>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3" w:type="dxa"/>
      </w:tblCellMar>
    </w:tblPr>
  </w:style>
  <w:style w:type="table" w:customStyle="1" w:styleId="25">
    <w:name w:val="2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4">
    <w:name w:val="2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3">
    <w:name w:val="2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28" w:type="dxa"/>
        <w:left w:w="110" w:type="dxa"/>
        <w:bottom w:w="28" w:type="dxa"/>
        <w:right w:w="115" w:type="dxa"/>
      </w:tblCellMar>
    </w:tblPr>
  </w:style>
  <w:style w:type="table" w:customStyle="1" w:styleId="22">
    <w:name w:val="2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28" w:type="dxa"/>
        <w:left w:w="110" w:type="dxa"/>
        <w:bottom w:w="28" w:type="dxa"/>
        <w:right w:w="115" w:type="dxa"/>
      </w:tblCellMar>
    </w:tblPr>
  </w:style>
  <w:style w:type="table" w:customStyle="1" w:styleId="21">
    <w:name w:val="2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3" w:type="dxa"/>
      </w:tblCellMar>
    </w:tblPr>
  </w:style>
  <w:style w:type="table" w:customStyle="1" w:styleId="20">
    <w:name w:val="2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90" w:type="dxa"/>
        <w:bottom w:w="100" w:type="dxa"/>
        <w:right w:w="100" w:type="dxa"/>
      </w:tblCellMar>
    </w:tblPr>
  </w:style>
  <w:style w:type="table" w:customStyle="1" w:styleId="19">
    <w:name w:val="19"/>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18">
    <w:name w:val="18"/>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17">
    <w:name w:val="17"/>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16">
    <w:name w:val="16"/>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15">
    <w:name w:val="1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4">
    <w:name w:val="1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90" w:type="dxa"/>
        <w:bottom w:w="100" w:type="dxa"/>
        <w:right w:w="100" w:type="dxa"/>
      </w:tblCellMar>
    </w:tblPr>
  </w:style>
  <w:style w:type="table" w:customStyle="1" w:styleId="10">
    <w:name w:val="10"/>
    <w:basedOn w:val="TableNormal"/>
    <w:tblPr>
      <w:tblStyleRowBandSize w:val="1"/>
      <w:tblStyleColBandSize w:val="1"/>
      <w:tblCellMar>
        <w:top w:w="100" w:type="dxa"/>
        <w:left w:w="90" w:type="dxa"/>
        <w:bottom w:w="100" w:type="dxa"/>
        <w:right w:w="100" w:type="dxa"/>
      </w:tblCellMar>
    </w:tblPr>
  </w:style>
  <w:style w:type="table" w:customStyle="1" w:styleId="9">
    <w:name w:val="9"/>
    <w:basedOn w:val="TableNormal"/>
    <w:tblPr>
      <w:tblStyleRowBandSize w:val="1"/>
      <w:tblStyleColBandSize w:val="1"/>
      <w:tblCellMar>
        <w:top w:w="100" w:type="dxa"/>
        <w:left w:w="90" w:type="dxa"/>
        <w:bottom w:w="100" w:type="dxa"/>
        <w:right w:w="100" w:type="dxa"/>
      </w:tblCellMar>
    </w:tblPr>
  </w:style>
  <w:style w:type="table" w:customStyle="1" w:styleId="8">
    <w:name w:val="8"/>
    <w:basedOn w:val="TableNormal"/>
    <w:tblPr>
      <w:tblStyleRowBandSize w:val="1"/>
      <w:tblStyleColBandSize w:val="1"/>
      <w:tblCellMar>
        <w:left w:w="103" w:type="dxa"/>
      </w:tblCellMar>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CellMar>
        <w:top w:w="28" w:type="dxa"/>
        <w:left w:w="110" w:type="dxa"/>
        <w:bottom w:w="28" w:type="dxa"/>
        <w:right w:w="115" w:type="dxa"/>
      </w:tblCellMar>
    </w:tblPr>
  </w:style>
  <w:style w:type="table" w:customStyle="1" w:styleId="4">
    <w:name w:val="4"/>
    <w:basedOn w:val="TableNormal"/>
    <w:tblPr>
      <w:tblStyleRowBandSize w:val="1"/>
      <w:tblStyleColBandSize w:val="1"/>
      <w:tblCellMar>
        <w:top w:w="28" w:type="dxa"/>
        <w:left w:w="110" w:type="dxa"/>
        <w:bottom w:w="28" w:type="dxa"/>
        <w:right w:w="115"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Header">
    <w:name w:val="header"/>
    <w:basedOn w:val="Normal"/>
    <w:link w:val="HeaderChar"/>
    <w:uiPriority w:val="99"/>
    <w:unhideWhenUsed/>
    <w:rsid w:val="000F4F1D"/>
    <w:pPr>
      <w:tabs>
        <w:tab w:val="center" w:pos="4153"/>
        <w:tab w:val="right" w:pos="8306"/>
      </w:tabs>
      <w:spacing w:line="240" w:lineRule="auto"/>
    </w:pPr>
  </w:style>
  <w:style w:type="character" w:customStyle="1" w:styleId="HeaderChar">
    <w:name w:val="Header Char"/>
    <w:basedOn w:val="DefaultParagraphFont"/>
    <w:link w:val="Header"/>
    <w:uiPriority w:val="99"/>
    <w:rsid w:val="000F4F1D"/>
    <w:rPr>
      <w:position w:val="-1"/>
    </w:rPr>
  </w:style>
  <w:style w:type="paragraph" w:styleId="Footer">
    <w:name w:val="footer"/>
    <w:basedOn w:val="Normal"/>
    <w:link w:val="FooterChar"/>
    <w:uiPriority w:val="99"/>
    <w:unhideWhenUsed/>
    <w:rsid w:val="000F4F1D"/>
    <w:pPr>
      <w:tabs>
        <w:tab w:val="center" w:pos="4153"/>
        <w:tab w:val="right" w:pos="8306"/>
      </w:tabs>
      <w:spacing w:line="240" w:lineRule="auto"/>
    </w:pPr>
  </w:style>
  <w:style w:type="character" w:customStyle="1" w:styleId="FooterChar">
    <w:name w:val="Footer Char"/>
    <w:basedOn w:val="DefaultParagraphFont"/>
    <w:link w:val="Footer"/>
    <w:uiPriority w:val="99"/>
    <w:rsid w:val="000F4F1D"/>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426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anhri.info/?p=4193" TargetMode="External"/><Relationship Id="rId21" Type="http://schemas.openxmlformats.org/officeDocument/2006/relationships/hyperlink" Target="http://anhri.net/?document_type=%D8%AA%D9%82%D8%A7%D8%B1%D9%8A%D8%B1-%D9%88%D8%AF%D8%B1%D8%A7%D8%B3%D8%A7%D8%AA" TargetMode="External"/><Relationship Id="rId42" Type="http://schemas.openxmlformats.org/officeDocument/2006/relationships/hyperlink" Target="http://anhri.net/?p=141588" TargetMode="External"/><Relationship Id="rId63" Type="http://schemas.openxmlformats.org/officeDocument/2006/relationships/hyperlink" Target="http://anhri.net/?p=158527" TargetMode="External"/><Relationship Id="rId84" Type="http://schemas.openxmlformats.org/officeDocument/2006/relationships/hyperlink" Target="http://anhri.net/?p=158527" TargetMode="External"/><Relationship Id="rId138" Type="http://schemas.openxmlformats.org/officeDocument/2006/relationships/hyperlink" Target="https://www.anhri.info/?p=13648" TargetMode="External"/><Relationship Id="rId159" Type="http://schemas.openxmlformats.org/officeDocument/2006/relationships/hyperlink" Target="https://www.anhri.info/?p=20936" TargetMode="External"/><Relationship Id="rId170" Type="http://schemas.openxmlformats.org/officeDocument/2006/relationships/header" Target="header2.xml"/><Relationship Id="rId107" Type="http://schemas.openxmlformats.org/officeDocument/2006/relationships/hyperlink" Target="http://www.anhri.net/%D8%A7%D9%84%D9%85%D8%B3%D8%A7%D8%B1-%D8%A7%D9%84%D8%AF%D9%8A%D9%85%D9%82%D8%B1%D8%A7%D8%B7%D9%8A-%D9%81%D9%8A-%D9%85%D8%B5%D8%B1-2017/index.html" TargetMode="External"/><Relationship Id="rId11" Type="http://schemas.openxmlformats.org/officeDocument/2006/relationships/image" Target="media/image4.png"/><Relationship Id="rId32" Type="http://schemas.openxmlformats.org/officeDocument/2006/relationships/hyperlink" Target="http://anhri.net/?p=141588" TargetMode="External"/><Relationship Id="rId53" Type="http://schemas.openxmlformats.org/officeDocument/2006/relationships/hyperlink" Target="http://anhri.net/?p=158527" TargetMode="External"/><Relationship Id="rId74" Type="http://schemas.openxmlformats.org/officeDocument/2006/relationships/hyperlink" Target="http://anhri.net/?p=158527" TargetMode="External"/><Relationship Id="rId128" Type="http://schemas.openxmlformats.org/officeDocument/2006/relationships/hyperlink" Target="https://www.anhri.info/?p=13648" TargetMode="External"/><Relationship Id="rId149" Type="http://schemas.openxmlformats.org/officeDocument/2006/relationships/hyperlink" Target="https://www.anhri.info/?p=13648" TargetMode="External"/><Relationship Id="rId5" Type="http://schemas.openxmlformats.org/officeDocument/2006/relationships/webSettings" Target="webSettings.xml"/><Relationship Id="rId95" Type="http://schemas.openxmlformats.org/officeDocument/2006/relationships/hyperlink" Target="http://www.anhri.net/%D8%A7%D9%84%D9%85%D8%B3%D8%A7%D8%B1-%D8%A7%D9%84%D8%AF%D9%8A%D9%85%D9%82%D8%B1%D8%A7%D8%B7%D9%8A-%D9%81%D9%8A-%D9%85%D8%B5%D8%B1-2017/index.html" TargetMode="External"/><Relationship Id="rId160" Type="http://schemas.openxmlformats.org/officeDocument/2006/relationships/hyperlink" Target="https://www.anhri.info/?p=20936" TargetMode="External"/><Relationship Id="rId22" Type="http://schemas.openxmlformats.org/officeDocument/2006/relationships/hyperlink" Target="http://anhri.net/?document_type=%D8%AA%D9%82%D8%A7%D8%B1%D9%8A%D8%B1-%D9%88%D8%AF%D8%B1%D8%A7%D8%B3%D8%A7%D8%AA" TargetMode="External"/><Relationship Id="rId43" Type="http://schemas.openxmlformats.org/officeDocument/2006/relationships/hyperlink" Target="http://anhri.net/?p=141588" TargetMode="External"/><Relationship Id="rId64" Type="http://schemas.openxmlformats.org/officeDocument/2006/relationships/hyperlink" Target="http://anhri.net/?p=158527" TargetMode="External"/><Relationship Id="rId118" Type="http://schemas.openxmlformats.org/officeDocument/2006/relationships/hyperlink" Target="https://www.anhri.info/?p=4193" TargetMode="External"/><Relationship Id="rId139" Type="http://schemas.openxmlformats.org/officeDocument/2006/relationships/hyperlink" Target="https://www.anhri.info/?p=13648" TargetMode="External"/><Relationship Id="rId85" Type="http://schemas.openxmlformats.org/officeDocument/2006/relationships/hyperlink" Target="http://anhri.net/?p=158527" TargetMode="External"/><Relationship Id="rId150" Type="http://schemas.openxmlformats.org/officeDocument/2006/relationships/hyperlink" Target="https://www.anhri.info/?p=13648" TargetMode="External"/><Relationship Id="rId171" Type="http://schemas.openxmlformats.org/officeDocument/2006/relationships/footer" Target="footer1.xml"/><Relationship Id="rId12" Type="http://schemas.openxmlformats.org/officeDocument/2006/relationships/image" Target="media/image5.png"/><Relationship Id="rId33" Type="http://schemas.openxmlformats.org/officeDocument/2006/relationships/hyperlink" Target="http://anhri.net/?p=141588" TargetMode="External"/><Relationship Id="rId108" Type="http://schemas.openxmlformats.org/officeDocument/2006/relationships/hyperlink" Target="http://www.anhri.net/%D8%A7%D9%84%D9%85%D8%B3%D8%A7%D8%B1-%D8%A7%D9%84%D8%AF%D9%8A%D9%85%D9%82%D8%B1%D8%A7%D8%B7%D9%8A-%D9%81%D9%8A-%D9%85%D8%B5%D8%B1-2017/index.html" TargetMode="External"/><Relationship Id="rId129" Type="http://schemas.openxmlformats.org/officeDocument/2006/relationships/hyperlink" Target="https://www.anhri.info/?p=13648" TargetMode="External"/><Relationship Id="rId54" Type="http://schemas.openxmlformats.org/officeDocument/2006/relationships/hyperlink" Target="http://anhri.net/?p=158527" TargetMode="External"/><Relationship Id="rId75" Type="http://schemas.openxmlformats.org/officeDocument/2006/relationships/hyperlink" Target="http://anhri.net/?p=158527" TargetMode="External"/><Relationship Id="rId96" Type="http://schemas.openxmlformats.org/officeDocument/2006/relationships/hyperlink" Target="http://www.anhri.net/%D8%A7%D9%84%D9%85%D8%B3%D8%A7%D8%B1-%D8%A7%D9%84%D8%AF%D9%8A%D9%85%D9%82%D8%B1%D8%A7%D8%B7%D9%8A-%D9%81%D9%8A-%D9%85%D8%B5%D8%B1-2017/index.html" TargetMode="External"/><Relationship Id="rId140" Type="http://schemas.openxmlformats.org/officeDocument/2006/relationships/hyperlink" Target="https://www.anhri.info/?p=13648" TargetMode="External"/><Relationship Id="rId161" Type="http://schemas.openxmlformats.org/officeDocument/2006/relationships/hyperlink" Target="https://www.anhri.info/?p=2093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anhri.net/?document_type=%D8%AA%D9%82%D8%A7%D8%B1%D9%8A%D8%B1-%D9%88%D8%AF%D8%B1%D8%A7%D8%B3%D8%A7%D8%AA" TargetMode="External"/><Relationship Id="rId28" Type="http://schemas.openxmlformats.org/officeDocument/2006/relationships/hyperlink" Target="http://anhri.net/?document_type=%D8%AA%D9%82%D8%A7%D8%B1%D9%8A%D8%B1-%D9%88%D8%AF%D8%B1%D8%A7%D8%B3%D8%A7%D8%AA" TargetMode="External"/><Relationship Id="rId49" Type="http://schemas.openxmlformats.org/officeDocument/2006/relationships/hyperlink" Target="http://anhri.net/?p=158527" TargetMode="External"/><Relationship Id="rId114" Type="http://schemas.openxmlformats.org/officeDocument/2006/relationships/hyperlink" Target="https://www.anhri.info/?p=4193" TargetMode="External"/><Relationship Id="rId119" Type="http://schemas.openxmlformats.org/officeDocument/2006/relationships/hyperlink" Target="https://www.anhri.info/?p=4193" TargetMode="External"/><Relationship Id="rId44" Type="http://schemas.openxmlformats.org/officeDocument/2006/relationships/hyperlink" Target="http://anhri.net/?p=141588" TargetMode="External"/><Relationship Id="rId60" Type="http://schemas.openxmlformats.org/officeDocument/2006/relationships/hyperlink" Target="http://anhri.net/?p=158527" TargetMode="External"/><Relationship Id="rId65" Type="http://schemas.openxmlformats.org/officeDocument/2006/relationships/hyperlink" Target="http://anhri.net/?p=158527" TargetMode="External"/><Relationship Id="rId81" Type="http://schemas.openxmlformats.org/officeDocument/2006/relationships/hyperlink" Target="http://anhri.net/?p=158527" TargetMode="External"/><Relationship Id="rId86" Type="http://schemas.openxmlformats.org/officeDocument/2006/relationships/hyperlink" Target="http://anhri.net/?p=158527" TargetMode="External"/><Relationship Id="rId130" Type="http://schemas.openxmlformats.org/officeDocument/2006/relationships/hyperlink" Target="https://www.anhri.info/?p=13648" TargetMode="External"/><Relationship Id="rId135" Type="http://schemas.openxmlformats.org/officeDocument/2006/relationships/hyperlink" Target="https://www.anhri.info/?p=13648" TargetMode="External"/><Relationship Id="rId151" Type="http://schemas.openxmlformats.org/officeDocument/2006/relationships/hyperlink" Target="https://www.anhri.info/?p=13648" TargetMode="External"/><Relationship Id="rId156" Type="http://schemas.openxmlformats.org/officeDocument/2006/relationships/hyperlink" Target="https://www.anhri.info/?p=20936" TargetMode="External"/><Relationship Id="rId172"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anhri.net/?p=141588" TargetMode="External"/><Relationship Id="rId109" Type="http://schemas.openxmlformats.org/officeDocument/2006/relationships/hyperlink" Target="http://www.anhri.net/%D8%A7%D9%84%D9%85%D8%B3%D8%A7%D8%B1-%D8%A7%D9%84%D8%AF%D9%8A%D9%85%D9%82%D8%B1%D8%A7%D8%B7%D9%8A-%D9%81%D9%8A-%D9%85%D8%B5%D8%B1-2017/index.html" TargetMode="External"/><Relationship Id="rId34" Type="http://schemas.openxmlformats.org/officeDocument/2006/relationships/hyperlink" Target="http://anhri.net/?p=141588" TargetMode="External"/><Relationship Id="rId50" Type="http://schemas.openxmlformats.org/officeDocument/2006/relationships/hyperlink" Target="http://anhri.net/?p=158527" TargetMode="External"/><Relationship Id="rId55" Type="http://schemas.openxmlformats.org/officeDocument/2006/relationships/hyperlink" Target="http://anhri.net/?p=158527" TargetMode="External"/><Relationship Id="rId76" Type="http://schemas.openxmlformats.org/officeDocument/2006/relationships/hyperlink" Target="http://anhri.net/?p=158527" TargetMode="External"/><Relationship Id="rId97" Type="http://schemas.openxmlformats.org/officeDocument/2006/relationships/hyperlink" Target="http://www.anhri.net/%D8%A7%D9%84%D9%85%D8%B3%D8%A7%D8%B1-%D8%A7%D9%84%D8%AF%D9%8A%D9%85%D9%82%D8%B1%D8%A7%D8%B7%D9%8A-%D9%81%D9%8A-%D9%85%D8%B5%D8%B1-2017/index.html" TargetMode="External"/><Relationship Id="rId104" Type="http://schemas.openxmlformats.org/officeDocument/2006/relationships/hyperlink" Target="http://www.anhri.net/%D8%A7%D9%84%D9%85%D8%B3%D8%A7%D8%B1-%D8%A7%D9%84%D8%AF%D9%8A%D9%85%D9%82%D8%B1%D8%A7%D8%B7%D9%8A-%D9%81%D9%8A-%D9%85%D8%B5%D8%B1-2017/index.html" TargetMode="External"/><Relationship Id="rId120" Type="http://schemas.openxmlformats.org/officeDocument/2006/relationships/hyperlink" Target="https://www.anhri.info/?p=4193" TargetMode="External"/><Relationship Id="rId125" Type="http://schemas.openxmlformats.org/officeDocument/2006/relationships/hyperlink" Target="https://www.anhri.info/?p=4193" TargetMode="External"/><Relationship Id="rId141" Type="http://schemas.openxmlformats.org/officeDocument/2006/relationships/hyperlink" Target="https://www.anhri.info/?p=13648" TargetMode="External"/><Relationship Id="rId146" Type="http://schemas.openxmlformats.org/officeDocument/2006/relationships/hyperlink" Target="https://www.anhri.info/?p=13648" TargetMode="External"/><Relationship Id="rId167" Type="http://schemas.openxmlformats.org/officeDocument/2006/relationships/hyperlink" Target="https://www.anhri.info/?p=20936" TargetMode="External"/><Relationship Id="rId7" Type="http://schemas.openxmlformats.org/officeDocument/2006/relationships/endnotes" Target="endnotes.xml"/><Relationship Id="rId71" Type="http://schemas.openxmlformats.org/officeDocument/2006/relationships/hyperlink" Target="http://anhri.net/?p=158527" TargetMode="External"/><Relationship Id="rId92" Type="http://schemas.openxmlformats.org/officeDocument/2006/relationships/hyperlink" Target="http://www.anhri.net/%D8%A7%D9%84%D9%85%D8%B3%D8%A7%D8%B1-%D8%A7%D9%84%D8%AF%D9%8A%D9%85%D9%82%D8%B1%D8%A7%D8%B7%D9%8A-%D9%81%D9%8A-%D9%85%D8%B5%D8%B1-2017/index.html" TargetMode="External"/><Relationship Id="rId162" Type="http://schemas.openxmlformats.org/officeDocument/2006/relationships/hyperlink" Target="https://www.anhri.info/?p=20936" TargetMode="External"/><Relationship Id="rId2" Type="http://schemas.openxmlformats.org/officeDocument/2006/relationships/numbering" Target="numbering.xml"/><Relationship Id="rId29" Type="http://schemas.openxmlformats.org/officeDocument/2006/relationships/hyperlink" Target="http://anhri.net/?document_type=%D8%AA%D9%82%D8%A7%D8%B1%D9%8A%D8%B1-%D9%88%D8%AF%D8%B1%D8%A7%D8%B3%D8%A7%D8%AA" TargetMode="External"/><Relationship Id="rId24" Type="http://schemas.openxmlformats.org/officeDocument/2006/relationships/hyperlink" Target="http://anhri.net/?document_type=%D8%AA%D9%82%D8%A7%D8%B1%D9%8A%D8%B1-%D9%88%D8%AF%D8%B1%D8%A7%D8%B3%D8%A7%D8%AA" TargetMode="External"/><Relationship Id="rId40" Type="http://schemas.openxmlformats.org/officeDocument/2006/relationships/hyperlink" Target="http://anhri.net/?p=141588" TargetMode="External"/><Relationship Id="rId45" Type="http://schemas.openxmlformats.org/officeDocument/2006/relationships/hyperlink" Target="http://anhri.net/?p=141588" TargetMode="External"/><Relationship Id="rId66" Type="http://schemas.openxmlformats.org/officeDocument/2006/relationships/hyperlink" Target="http://anhri.net/?p=158527" TargetMode="External"/><Relationship Id="rId87" Type="http://schemas.openxmlformats.org/officeDocument/2006/relationships/hyperlink" Target="http://anhri.net/?p=158527" TargetMode="External"/><Relationship Id="rId110" Type="http://schemas.openxmlformats.org/officeDocument/2006/relationships/hyperlink" Target="https://www.anhri.info/?p=4193" TargetMode="External"/><Relationship Id="rId115" Type="http://schemas.openxmlformats.org/officeDocument/2006/relationships/hyperlink" Target="https://www.anhri.info/?p=4193" TargetMode="External"/><Relationship Id="rId131" Type="http://schemas.openxmlformats.org/officeDocument/2006/relationships/hyperlink" Target="https://www.anhri.info/?p=13648" TargetMode="External"/><Relationship Id="rId136" Type="http://schemas.openxmlformats.org/officeDocument/2006/relationships/hyperlink" Target="https://www.anhri.info/?p=13648" TargetMode="External"/><Relationship Id="rId157" Type="http://schemas.openxmlformats.org/officeDocument/2006/relationships/hyperlink" Target="https://www.anhri.info/?p=20936" TargetMode="External"/><Relationship Id="rId61" Type="http://schemas.openxmlformats.org/officeDocument/2006/relationships/hyperlink" Target="http://anhri.net/?p=158527" TargetMode="External"/><Relationship Id="rId82" Type="http://schemas.openxmlformats.org/officeDocument/2006/relationships/hyperlink" Target="http://anhri.net/?p=158527" TargetMode="External"/><Relationship Id="rId152" Type="http://schemas.openxmlformats.org/officeDocument/2006/relationships/hyperlink" Target="https://www.anhri.info/?p=13648" TargetMode="External"/><Relationship Id="rId173" Type="http://schemas.openxmlformats.org/officeDocument/2006/relationships/header" Target="header3.xml"/><Relationship Id="rId19" Type="http://schemas.openxmlformats.org/officeDocument/2006/relationships/hyperlink" Target="http://anhri.net/?document_type=%D8%AA%D9%82%D8%A7%D8%B1%D9%8A%D8%B1-%D9%88%D8%AF%D8%B1%D8%A7%D8%B3%D8%A7%D8%AA" TargetMode="External"/><Relationship Id="rId14" Type="http://schemas.openxmlformats.org/officeDocument/2006/relationships/image" Target="media/image7.png"/><Relationship Id="rId30" Type="http://schemas.openxmlformats.org/officeDocument/2006/relationships/hyperlink" Target="http://anhri.net/?p=141588" TargetMode="External"/><Relationship Id="rId35" Type="http://schemas.openxmlformats.org/officeDocument/2006/relationships/hyperlink" Target="http://anhri.net/?p=141588" TargetMode="External"/><Relationship Id="rId56" Type="http://schemas.openxmlformats.org/officeDocument/2006/relationships/hyperlink" Target="http://anhri.net/?p=158527" TargetMode="External"/><Relationship Id="rId77" Type="http://schemas.openxmlformats.org/officeDocument/2006/relationships/hyperlink" Target="http://anhri.net/?p=158527" TargetMode="External"/><Relationship Id="rId100" Type="http://schemas.openxmlformats.org/officeDocument/2006/relationships/hyperlink" Target="http://www.anhri.net/%D8%A7%D9%84%D9%85%D8%B3%D8%A7%D8%B1-%D8%A7%D9%84%D8%AF%D9%8A%D9%85%D9%82%D8%B1%D8%A7%D8%B7%D9%8A-%D9%81%D9%8A-%D9%85%D8%B5%D8%B1-2017/index.html" TargetMode="External"/><Relationship Id="rId105" Type="http://schemas.openxmlformats.org/officeDocument/2006/relationships/hyperlink" Target="http://www.anhri.net/%D8%A7%D9%84%D9%85%D8%B3%D8%A7%D8%B1-%D8%A7%D9%84%D8%AF%D9%8A%D9%85%D9%82%D8%B1%D8%A7%D8%B7%D9%8A-%D9%81%D9%8A-%D9%85%D8%B5%D8%B1-2017/index.html" TargetMode="External"/><Relationship Id="rId126" Type="http://schemas.openxmlformats.org/officeDocument/2006/relationships/hyperlink" Target="https://www.anhri.info/?p=4193" TargetMode="External"/><Relationship Id="rId147" Type="http://schemas.openxmlformats.org/officeDocument/2006/relationships/hyperlink" Target="https://www.anhri.info/?p=13648" TargetMode="External"/><Relationship Id="rId168" Type="http://schemas.openxmlformats.org/officeDocument/2006/relationships/hyperlink" Target="https://www.anhri.info/?p=20936" TargetMode="External"/><Relationship Id="rId8" Type="http://schemas.openxmlformats.org/officeDocument/2006/relationships/image" Target="media/image1.png"/><Relationship Id="rId51" Type="http://schemas.openxmlformats.org/officeDocument/2006/relationships/hyperlink" Target="http://anhri.net/?p=158527" TargetMode="External"/><Relationship Id="rId72" Type="http://schemas.openxmlformats.org/officeDocument/2006/relationships/hyperlink" Target="http://anhri.net/?p=158527" TargetMode="External"/><Relationship Id="rId93" Type="http://schemas.openxmlformats.org/officeDocument/2006/relationships/hyperlink" Target="http://www.anhri.net/%D8%A7%D9%84%D9%85%D8%B3%D8%A7%D8%B1-%D8%A7%D9%84%D8%AF%D9%8A%D9%85%D9%82%D8%B1%D8%A7%D8%B7%D9%8A-%D9%81%D9%8A-%D9%85%D8%B5%D8%B1-2017/index.html" TargetMode="External"/><Relationship Id="rId98" Type="http://schemas.openxmlformats.org/officeDocument/2006/relationships/hyperlink" Target="http://www.anhri.net/%D8%A7%D9%84%D9%85%D8%B3%D8%A7%D8%B1-%D8%A7%D9%84%D8%AF%D9%8A%D9%85%D9%82%D8%B1%D8%A7%D8%B7%D9%8A-%D9%81%D9%8A-%D9%85%D8%B5%D8%B1-2017/index.html" TargetMode="External"/><Relationship Id="rId121" Type="http://schemas.openxmlformats.org/officeDocument/2006/relationships/hyperlink" Target="https://www.anhri.info/?p=4193" TargetMode="External"/><Relationship Id="rId142" Type="http://schemas.openxmlformats.org/officeDocument/2006/relationships/hyperlink" Target="https://www.anhri.info/?p=13648" TargetMode="External"/><Relationship Id="rId163" Type="http://schemas.openxmlformats.org/officeDocument/2006/relationships/hyperlink" Target="https://www.anhri.info/?p=20936" TargetMode="External"/><Relationship Id="rId3" Type="http://schemas.openxmlformats.org/officeDocument/2006/relationships/styles" Target="styles.xml"/><Relationship Id="rId25" Type="http://schemas.openxmlformats.org/officeDocument/2006/relationships/hyperlink" Target="http://anhri.net/?document_type=%D8%AA%D9%82%D8%A7%D8%B1%D9%8A%D8%B1-%D9%88%D8%AF%D8%B1%D8%A7%D8%B3%D8%A7%D8%AA" TargetMode="External"/><Relationship Id="rId46" Type="http://schemas.openxmlformats.org/officeDocument/2006/relationships/hyperlink" Target="http://anhri.net/?p=141588" TargetMode="External"/><Relationship Id="rId67" Type="http://schemas.openxmlformats.org/officeDocument/2006/relationships/hyperlink" Target="http://anhri.net/?p=158527" TargetMode="External"/><Relationship Id="rId116" Type="http://schemas.openxmlformats.org/officeDocument/2006/relationships/hyperlink" Target="https://www.anhri.info/?p=4193" TargetMode="External"/><Relationship Id="rId137" Type="http://schemas.openxmlformats.org/officeDocument/2006/relationships/hyperlink" Target="https://www.anhri.info/?p=13648" TargetMode="External"/><Relationship Id="rId158" Type="http://schemas.openxmlformats.org/officeDocument/2006/relationships/hyperlink" Target="https://www.anhri.info/?p=20936" TargetMode="External"/><Relationship Id="rId20" Type="http://schemas.openxmlformats.org/officeDocument/2006/relationships/hyperlink" Target="http://anhri.net/?document_type=%D8%AA%D9%82%D8%A7%D8%B1%D9%8A%D8%B1-%D9%88%D8%AF%D8%B1%D8%A7%D8%B3%D8%A7%D8%AA" TargetMode="External"/><Relationship Id="rId41" Type="http://schemas.openxmlformats.org/officeDocument/2006/relationships/hyperlink" Target="http://anhri.net/?p=141588" TargetMode="External"/><Relationship Id="rId62" Type="http://schemas.openxmlformats.org/officeDocument/2006/relationships/hyperlink" Target="http://anhri.net/?p=158527" TargetMode="External"/><Relationship Id="rId83" Type="http://schemas.openxmlformats.org/officeDocument/2006/relationships/hyperlink" Target="http://anhri.net/?p=158527" TargetMode="External"/><Relationship Id="rId88" Type="http://schemas.openxmlformats.org/officeDocument/2006/relationships/hyperlink" Target="http://anhri.net/?p=158527" TargetMode="External"/><Relationship Id="rId111" Type="http://schemas.openxmlformats.org/officeDocument/2006/relationships/hyperlink" Target="https://www.anhri.info/?p=4193" TargetMode="External"/><Relationship Id="rId132" Type="http://schemas.openxmlformats.org/officeDocument/2006/relationships/hyperlink" Target="https://www.anhri.info/?p=13648" TargetMode="External"/><Relationship Id="rId153" Type="http://schemas.openxmlformats.org/officeDocument/2006/relationships/hyperlink" Target="https://www.anhri.info/?p=13648" TargetMode="External"/><Relationship Id="rId174" Type="http://schemas.openxmlformats.org/officeDocument/2006/relationships/footer" Target="footer3.xml"/><Relationship Id="rId15" Type="http://schemas.openxmlformats.org/officeDocument/2006/relationships/image" Target="media/image8.png"/><Relationship Id="rId36" Type="http://schemas.openxmlformats.org/officeDocument/2006/relationships/hyperlink" Target="http://anhri.net/?p=141588" TargetMode="External"/><Relationship Id="rId57" Type="http://schemas.openxmlformats.org/officeDocument/2006/relationships/hyperlink" Target="http://anhri.net/?p=158527" TargetMode="External"/><Relationship Id="rId106" Type="http://schemas.openxmlformats.org/officeDocument/2006/relationships/hyperlink" Target="http://www.anhri.net/%D8%A7%D9%84%D9%85%D8%B3%D8%A7%D8%B1-%D8%A7%D9%84%D8%AF%D9%8A%D9%85%D9%82%D8%B1%D8%A7%D8%B7%D9%8A-%D9%81%D9%8A-%D9%85%D8%B5%D8%B1-2017/index.html" TargetMode="External"/><Relationship Id="rId127" Type="http://schemas.openxmlformats.org/officeDocument/2006/relationships/hyperlink" Target="https://www.anhri.info/?p=4193" TargetMode="External"/><Relationship Id="rId10" Type="http://schemas.openxmlformats.org/officeDocument/2006/relationships/image" Target="media/image3.png"/><Relationship Id="rId31" Type="http://schemas.openxmlformats.org/officeDocument/2006/relationships/hyperlink" Target="http://anhri.net/?p=141588" TargetMode="External"/><Relationship Id="rId52" Type="http://schemas.openxmlformats.org/officeDocument/2006/relationships/hyperlink" Target="http://anhri.net/?p=158527" TargetMode="External"/><Relationship Id="rId73" Type="http://schemas.openxmlformats.org/officeDocument/2006/relationships/hyperlink" Target="http://anhri.net/?p=158527" TargetMode="External"/><Relationship Id="rId78" Type="http://schemas.openxmlformats.org/officeDocument/2006/relationships/hyperlink" Target="http://anhri.net/?p=158527" TargetMode="External"/><Relationship Id="rId94" Type="http://schemas.openxmlformats.org/officeDocument/2006/relationships/hyperlink" Target="http://www.anhri.net/%D8%A7%D9%84%D9%85%D8%B3%D8%A7%D8%B1-%D8%A7%D9%84%D8%AF%D9%8A%D9%85%D9%82%D8%B1%D8%A7%D8%B7%D9%8A-%D9%81%D9%8A-%D9%85%D8%B5%D8%B1-2017/index.html" TargetMode="External"/><Relationship Id="rId99" Type="http://schemas.openxmlformats.org/officeDocument/2006/relationships/hyperlink" Target="http://www.anhri.net/%D8%A7%D9%84%D9%85%D8%B3%D8%A7%D8%B1-%D8%A7%D9%84%D8%AF%D9%8A%D9%85%D9%82%D8%B1%D8%A7%D8%B7%D9%8A-%D9%81%D9%8A-%D9%85%D8%B5%D8%B1-2017/index.html" TargetMode="External"/><Relationship Id="rId101" Type="http://schemas.openxmlformats.org/officeDocument/2006/relationships/hyperlink" Target="http://www.anhri.net/%D8%A7%D9%84%D9%85%D8%B3%D8%A7%D8%B1-%D8%A7%D9%84%D8%AF%D9%8A%D9%85%D9%82%D8%B1%D8%A7%D8%B7%D9%8A-%D9%81%D9%8A-%D9%85%D8%B5%D8%B1-2017/index.html" TargetMode="External"/><Relationship Id="rId122" Type="http://schemas.openxmlformats.org/officeDocument/2006/relationships/hyperlink" Target="https://www.anhri.info/?p=4193" TargetMode="External"/><Relationship Id="rId143" Type="http://schemas.openxmlformats.org/officeDocument/2006/relationships/hyperlink" Target="https://www.anhri.info/?p=13648" TargetMode="External"/><Relationship Id="rId148" Type="http://schemas.openxmlformats.org/officeDocument/2006/relationships/hyperlink" Target="https://www.anhri.info/?p=13648" TargetMode="External"/><Relationship Id="rId164" Type="http://schemas.openxmlformats.org/officeDocument/2006/relationships/hyperlink" Target="https://www.anhri.info/?p=20936" TargetMode="External"/><Relationship Id="rId16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anhri.net/?document_type=%D8%AA%D9%82%D8%A7%D8%B1%D9%8A%D8%B1-%D9%88%D8%AF%D8%B1%D8%A7%D8%B3%D8%A7%D8%AA" TargetMode="External"/><Relationship Id="rId47" Type="http://schemas.openxmlformats.org/officeDocument/2006/relationships/hyperlink" Target="http://anhri.net/?p=141588" TargetMode="External"/><Relationship Id="rId68" Type="http://schemas.openxmlformats.org/officeDocument/2006/relationships/hyperlink" Target="http://anhri.net/?p=158527" TargetMode="External"/><Relationship Id="rId89" Type="http://schemas.openxmlformats.org/officeDocument/2006/relationships/hyperlink" Target="http://anhri.net/?p=158527" TargetMode="External"/><Relationship Id="rId112" Type="http://schemas.openxmlformats.org/officeDocument/2006/relationships/hyperlink" Target="https://www.anhri.info/?p=4193" TargetMode="External"/><Relationship Id="rId133" Type="http://schemas.openxmlformats.org/officeDocument/2006/relationships/hyperlink" Target="https://www.anhri.info/?p=13648" TargetMode="External"/><Relationship Id="rId154" Type="http://schemas.openxmlformats.org/officeDocument/2006/relationships/image" Target="media/image12.png"/><Relationship Id="rId175" Type="http://schemas.openxmlformats.org/officeDocument/2006/relationships/fontTable" Target="fontTable.xml"/><Relationship Id="rId16" Type="http://schemas.openxmlformats.org/officeDocument/2006/relationships/image" Target="media/image9.png"/><Relationship Id="rId37" Type="http://schemas.openxmlformats.org/officeDocument/2006/relationships/hyperlink" Target="http://anhri.net/?p=141588" TargetMode="External"/><Relationship Id="rId58" Type="http://schemas.openxmlformats.org/officeDocument/2006/relationships/hyperlink" Target="http://anhri.net/?p=158527" TargetMode="External"/><Relationship Id="rId79" Type="http://schemas.openxmlformats.org/officeDocument/2006/relationships/hyperlink" Target="http://anhri.net/?p=158527" TargetMode="External"/><Relationship Id="rId102" Type="http://schemas.openxmlformats.org/officeDocument/2006/relationships/hyperlink" Target="http://www.anhri.net/%D8%A7%D9%84%D9%85%D8%B3%D8%A7%D8%B1-%D8%A7%D9%84%D8%AF%D9%8A%D9%85%D9%82%D8%B1%D8%A7%D8%B7%D9%8A-%D9%81%D9%8A-%D9%85%D8%B5%D8%B1-2017/index.html" TargetMode="External"/><Relationship Id="rId123" Type="http://schemas.openxmlformats.org/officeDocument/2006/relationships/hyperlink" Target="https://www.anhri.info/?p=4193" TargetMode="External"/><Relationship Id="rId144" Type="http://schemas.openxmlformats.org/officeDocument/2006/relationships/hyperlink" Target="https://www.anhri.info/?p=13648" TargetMode="External"/><Relationship Id="rId90" Type="http://schemas.openxmlformats.org/officeDocument/2006/relationships/hyperlink" Target="http://anhri.net/?p=158527" TargetMode="External"/><Relationship Id="rId165" Type="http://schemas.openxmlformats.org/officeDocument/2006/relationships/hyperlink" Target="https://www.anhri.info/?p=20936" TargetMode="External"/><Relationship Id="rId27" Type="http://schemas.openxmlformats.org/officeDocument/2006/relationships/hyperlink" Target="http://anhri.net/?document_type=%D8%AA%D9%82%D8%A7%D8%B1%D9%8A%D8%B1-%D9%88%D8%AF%D8%B1%D8%A7%D8%B3%D8%A7%D8%AA" TargetMode="External"/><Relationship Id="rId48" Type="http://schemas.openxmlformats.org/officeDocument/2006/relationships/hyperlink" Target="http://anhri.net/?p=158527" TargetMode="External"/><Relationship Id="rId69" Type="http://schemas.openxmlformats.org/officeDocument/2006/relationships/hyperlink" Target="http://anhri.net/?p=158527" TargetMode="External"/><Relationship Id="rId113" Type="http://schemas.openxmlformats.org/officeDocument/2006/relationships/hyperlink" Target="https://www.anhri.info/?p=4193" TargetMode="External"/><Relationship Id="rId134" Type="http://schemas.openxmlformats.org/officeDocument/2006/relationships/hyperlink" Target="https://www.anhri.info/?p=13648" TargetMode="External"/><Relationship Id="rId80" Type="http://schemas.openxmlformats.org/officeDocument/2006/relationships/hyperlink" Target="http://anhri.net/?p=158527" TargetMode="External"/><Relationship Id="rId155" Type="http://schemas.openxmlformats.org/officeDocument/2006/relationships/hyperlink" Target="https://www.anhri.info/?p=20936" TargetMode="External"/><Relationship Id="rId176" Type="http://schemas.openxmlformats.org/officeDocument/2006/relationships/theme" Target="theme/theme1.xml"/><Relationship Id="rId17" Type="http://schemas.openxmlformats.org/officeDocument/2006/relationships/image" Target="media/image10.png"/><Relationship Id="rId38" Type="http://schemas.openxmlformats.org/officeDocument/2006/relationships/hyperlink" Target="http://anhri.net/?p=141588" TargetMode="External"/><Relationship Id="rId59" Type="http://schemas.openxmlformats.org/officeDocument/2006/relationships/hyperlink" Target="http://anhri.net/?p=158527" TargetMode="External"/><Relationship Id="rId103" Type="http://schemas.openxmlformats.org/officeDocument/2006/relationships/hyperlink" Target="http://www.anhri.net/%D8%A7%D9%84%D9%85%D8%B3%D8%A7%D8%B1-%D8%A7%D9%84%D8%AF%D9%8A%D9%85%D9%82%D8%B1%D8%A7%D8%B7%D9%8A-%D9%81%D9%8A-%D9%85%D8%B5%D8%B1-2017/index.html" TargetMode="External"/><Relationship Id="rId124" Type="http://schemas.openxmlformats.org/officeDocument/2006/relationships/hyperlink" Target="https://www.anhri.info/?p=4193" TargetMode="External"/><Relationship Id="rId70" Type="http://schemas.openxmlformats.org/officeDocument/2006/relationships/hyperlink" Target="http://anhri.net/?p=158527" TargetMode="External"/><Relationship Id="rId91" Type="http://schemas.openxmlformats.org/officeDocument/2006/relationships/hyperlink" Target="http://anhri.net/?p=158527" TargetMode="External"/><Relationship Id="rId145" Type="http://schemas.openxmlformats.org/officeDocument/2006/relationships/hyperlink" Target="https://www.anhri.info/?p=13648" TargetMode="External"/><Relationship Id="rId166" Type="http://schemas.openxmlformats.org/officeDocument/2006/relationships/hyperlink" Target="https://www.anhri.info/?p=20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XB3HdwrSZHyu2sjaaUeMHSRGpw==">AMUW2mUTUVwsddUrO7hAX67T0r3ikwPbb8K8FxvQk3qN2xtrKh2HEznGENf7h5ykfAySMcvhMOg2Krfv8i0w+3g1xVWPwjSxTi3tNzw4U7nDP4j9G9s7oBQ=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24</Pages>
  <Words>4081</Words>
  <Characters>23268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Romy</dc:creator>
  <cp:keywords/>
  <dc:description/>
  <cp:lastModifiedBy>Hussain</cp:lastModifiedBy>
  <cp:revision>1</cp:revision>
  <cp:lastPrinted>2021-10-12T09:15:00Z</cp:lastPrinted>
  <dcterms:created xsi:type="dcterms:W3CDTF">2021-10-10T12:37:00Z</dcterms:created>
  <dcterms:modified xsi:type="dcterms:W3CDTF">2021-10-12T09:15:00Z</dcterms:modified>
</cp:coreProperties>
</file>