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C2FE2C0" w14:textId="619AA1B9" w:rsidR="00135CE1" w:rsidRDefault="00645A73">
      <w:pPr>
        <w:bidi/>
        <w:ind w:left="-360" w:right="-360"/>
        <w:jc w:val="center"/>
        <w:rPr>
          <w:rFonts w:ascii="Tahoma" w:eastAsia="Tahoma" w:hAnsi="Tahoma" w:cs="Tahoma"/>
          <w:bCs/>
          <w:sz w:val="24"/>
          <w:szCs w:val="24"/>
          <w:rtl/>
        </w:rPr>
      </w:pPr>
      <w:r>
        <w:rPr>
          <w:rFonts w:ascii="Tahoma" w:eastAsia="Tahoma" w:hAnsi="Tahoma" w:cs="Tahoma"/>
          <w:bCs/>
          <w:noProof/>
          <w:sz w:val="24"/>
          <w:szCs w:val="24"/>
          <w:rtl/>
          <w:lang w:val="en-US"/>
        </w:rPr>
        <w:drawing>
          <wp:anchor distT="0" distB="0" distL="114300" distR="114300" simplePos="0" relativeHeight="251658240" behindDoc="1" locked="0" layoutInCell="1" allowOverlap="1" wp14:anchorId="61A7EAB3" wp14:editId="104F3ECB">
            <wp:simplePos x="0" y="0"/>
            <wp:positionH relativeFrom="column">
              <wp:posOffset>-609600</wp:posOffset>
            </wp:positionH>
            <wp:positionV relativeFrom="paragraph">
              <wp:posOffset>-600075</wp:posOffset>
            </wp:positionV>
            <wp:extent cx="7153275" cy="9410700"/>
            <wp:effectExtent l="0" t="0" r="952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153275" cy="9410700"/>
                    </a:xfrm>
                    <a:prstGeom prst="rect">
                      <a:avLst/>
                    </a:prstGeom>
                  </pic:spPr>
                </pic:pic>
              </a:graphicData>
            </a:graphic>
            <wp14:sizeRelH relativeFrom="margin">
              <wp14:pctWidth>0</wp14:pctWidth>
            </wp14:sizeRelH>
            <wp14:sizeRelV relativeFrom="margin">
              <wp14:pctHeight>0</wp14:pctHeight>
            </wp14:sizeRelV>
          </wp:anchor>
        </w:drawing>
      </w:r>
    </w:p>
    <w:p w14:paraId="297AF629" w14:textId="77777777" w:rsidR="00135CE1" w:rsidRDefault="00135CE1" w:rsidP="00135CE1">
      <w:pPr>
        <w:bidi/>
        <w:ind w:left="-360" w:right="-360"/>
        <w:jc w:val="center"/>
        <w:rPr>
          <w:rFonts w:ascii="Tahoma" w:eastAsia="Tahoma" w:hAnsi="Tahoma" w:cs="Tahoma"/>
          <w:bCs/>
          <w:sz w:val="24"/>
          <w:szCs w:val="24"/>
          <w:rtl/>
        </w:rPr>
      </w:pPr>
    </w:p>
    <w:p w14:paraId="21E75845" w14:textId="77777777" w:rsidR="00135CE1" w:rsidRDefault="00135CE1" w:rsidP="00135CE1">
      <w:pPr>
        <w:bidi/>
        <w:ind w:left="-360" w:right="-360"/>
        <w:jc w:val="center"/>
        <w:rPr>
          <w:rFonts w:ascii="Tahoma" w:eastAsia="Tahoma" w:hAnsi="Tahoma" w:cs="Tahoma"/>
          <w:bCs/>
          <w:sz w:val="24"/>
          <w:szCs w:val="24"/>
          <w:rtl/>
        </w:rPr>
      </w:pPr>
    </w:p>
    <w:p w14:paraId="7327C2AE" w14:textId="77777777" w:rsidR="00135CE1" w:rsidRDefault="00135CE1" w:rsidP="00135CE1">
      <w:pPr>
        <w:bidi/>
        <w:ind w:left="-360" w:right="-360"/>
        <w:jc w:val="center"/>
        <w:rPr>
          <w:rFonts w:ascii="Tahoma" w:eastAsia="Tahoma" w:hAnsi="Tahoma" w:cs="Tahoma"/>
          <w:bCs/>
          <w:sz w:val="24"/>
          <w:szCs w:val="24"/>
          <w:rtl/>
        </w:rPr>
      </w:pPr>
    </w:p>
    <w:p w14:paraId="44AC4E9F" w14:textId="77777777" w:rsidR="00135CE1" w:rsidRDefault="00135CE1" w:rsidP="00135CE1">
      <w:pPr>
        <w:bidi/>
        <w:ind w:left="-360" w:right="-360"/>
        <w:jc w:val="center"/>
        <w:rPr>
          <w:rFonts w:ascii="Tahoma" w:eastAsia="Tahoma" w:hAnsi="Tahoma" w:cs="Tahoma"/>
          <w:bCs/>
          <w:sz w:val="24"/>
          <w:szCs w:val="24"/>
          <w:rtl/>
        </w:rPr>
      </w:pPr>
    </w:p>
    <w:p w14:paraId="3B5A643F" w14:textId="77777777" w:rsidR="00135CE1" w:rsidRDefault="00135CE1" w:rsidP="00135CE1">
      <w:pPr>
        <w:bidi/>
        <w:ind w:left="-360" w:right="-360"/>
        <w:jc w:val="center"/>
        <w:rPr>
          <w:rFonts w:ascii="Tahoma" w:eastAsia="Tahoma" w:hAnsi="Tahoma" w:cs="Tahoma"/>
          <w:bCs/>
          <w:sz w:val="24"/>
          <w:szCs w:val="24"/>
          <w:rtl/>
        </w:rPr>
      </w:pPr>
    </w:p>
    <w:p w14:paraId="34EA21A5" w14:textId="77777777" w:rsidR="00135CE1" w:rsidRDefault="00135CE1" w:rsidP="00135CE1">
      <w:pPr>
        <w:bidi/>
        <w:ind w:left="-360" w:right="-360"/>
        <w:jc w:val="center"/>
        <w:rPr>
          <w:rFonts w:ascii="Tahoma" w:eastAsia="Tahoma" w:hAnsi="Tahoma" w:cs="Tahoma"/>
          <w:bCs/>
          <w:sz w:val="24"/>
          <w:szCs w:val="24"/>
          <w:rtl/>
        </w:rPr>
      </w:pPr>
    </w:p>
    <w:p w14:paraId="111BF719" w14:textId="77777777" w:rsidR="00135CE1" w:rsidRDefault="00135CE1" w:rsidP="00135CE1">
      <w:pPr>
        <w:bidi/>
        <w:ind w:left="-360" w:right="-360"/>
        <w:jc w:val="center"/>
        <w:rPr>
          <w:rFonts w:ascii="Tahoma" w:eastAsia="Tahoma" w:hAnsi="Tahoma" w:cs="Tahoma"/>
          <w:bCs/>
          <w:sz w:val="24"/>
          <w:szCs w:val="24"/>
          <w:rtl/>
        </w:rPr>
      </w:pPr>
    </w:p>
    <w:p w14:paraId="40152493" w14:textId="77777777" w:rsidR="00135CE1" w:rsidRDefault="00135CE1" w:rsidP="00135CE1">
      <w:pPr>
        <w:bidi/>
        <w:ind w:left="-360" w:right="-360"/>
        <w:jc w:val="center"/>
        <w:rPr>
          <w:rFonts w:ascii="Tahoma" w:eastAsia="Tahoma" w:hAnsi="Tahoma" w:cs="Tahoma"/>
          <w:bCs/>
          <w:sz w:val="24"/>
          <w:szCs w:val="24"/>
          <w:rtl/>
        </w:rPr>
      </w:pPr>
    </w:p>
    <w:p w14:paraId="6E4946B1" w14:textId="77777777" w:rsidR="00135CE1" w:rsidRDefault="00135CE1" w:rsidP="00135CE1">
      <w:pPr>
        <w:bidi/>
        <w:ind w:left="-360" w:right="-360"/>
        <w:jc w:val="center"/>
        <w:rPr>
          <w:rFonts w:ascii="Tahoma" w:eastAsia="Tahoma" w:hAnsi="Tahoma" w:cs="Tahoma"/>
          <w:bCs/>
          <w:sz w:val="24"/>
          <w:szCs w:val="24"/>
          <w:rtl/>
        </w:rPr>
      </w:pPr>
    </w:p>
    <w:p w14:paraId="3C8AF92B" w14:textId="77777777" w:rsidR="00135CE1" w:rsidRDefault="00135CE1" w:rsidP="00135CE1">
      <w:pPr>
        <w:bidi/>
        <w:ind w:left="-360" w:right="-360"/>
        <w:jc w:val="center"/>
        <w:rPr>
          <w:rFonts w:ascii="Tahoma" w:eastAsia="Tahoma" w:hAnsi="Tahoma" w:cs="Tahoma"/>
          <w:bCs/>
          <w:sz w:val="24"/>
          <w:szCs w:val="24"/>
          <w:rtl/>
        </w:rPr>
      </w:pPr>
    </w:p>
    <w:p w14:paraId="374C6B04" w14:textId="77777777" w:rsidR="00135CE1" w:rsidRDefault="00135CE1" w:rsidP="00135CE1">
      <w:pPr>
        <w:bidi/>
        <w:ind w:left="-360" w:right="-360"/>
        <w:jc w:val="center"/>
        <w:rPr>
          <w:rFonts w:ascii="Tahoma" w:eastAsia="Tahoma" w:hAnsi="Tahoma" w:cs="Tahoma"/>
          <w:bCs/>
          <w:sz w:val="24"/>
          <w:szCs w:val="24"/>
          <w:rtl/>
        </w:rPr>
      </w:pPr>
    </w:p>
    <w:p w14:paraId="1742CD7C" w14:textId="77777777" w:rsidR="00135CE1" w:rsidRDefault="00135CE1" w:rsidP="00135CE1">
      <w:pPr>
        <w:bidi/>
        <w:ind w:left="-360" w:right="-360"/>
        <w:jc w:val="center"/>
        <w:rPr>
          <w:rFonts w:ascii="Tahoma" w:eastAsia="Tahoma" w:hAnsi="Tahoma" w:cs="Tahoma"/>
          <w:bCs/>
          <w:sz w:val="24"/>
          <w:szCs w:val="24"/>
          <w:rtl/>
        </w:rPr>
      </w:pPr>
    </w:p>
    <w:p w14:paraId="225E9ED4" w14:textId="77777777" w:rsidR="00135CE1" w:rsidRDefault="00135CE1" w:rsidP="00135CE1">
      <w:pPr>
        <w:bidi/>
        <w:ind w:left="-360" w:right="-360"/>
        <w:jc w:val="center"/>
        <w:rPr>
          <w:rFonts w:ascii="Tahoma" w:eastAsia="Tahoma" w:hAnsi="Tahoma" w:cs="Tahoma"/>
          <w:bCs/>
          <w:sz w:val="24"/>
          <w:szCs w:val="24"/>
          <w:rtl/>
        </w:rPr>
      </w:pPr>
      <w:bookmarkStart w:id="0" w:name="_GoBack"/>
      <w:bookmarkEnd w:id="0"/>
    </w:p>
    <w:p w14:paraId="4E5A8A2F" w14:textId="77777777" w:rsidR="00135CE1" w:rsidRDefault="00135CE1" w:rsidP="00135CE1">
      <w:pPr>
        <w:bidi/>
        <w:ind w:left="-360" w:right="-360"/>
        <w:jc w:val="center"/>
        <w:rPr>
          <w:rFonts w:ascii="Tahoma" w:eastAsia="Tahoma" w:hAnsi="Tahoma" w:cs="Tahoma"/>
          <w:bCs/>
          <w:sz w:val="24"/>
          <w:szCs w:val="24"/>
          <w:rtl/>
        </w:rPr>
      </w:pPr>
    </w:p>
    <w:p w14:paraId="3A05FBFD" w14:textId="77777777" w:rsidR="00135CE1" w:rsidRDefault="00135CE1" w:rsidP="00135CE1">
      <w:pPr>
        <w:bidi/>
        <w:ind w:left="-360" w:right="-360"/>
        <w:jc w:val="center"/>
        <w:rPr>
          <w:rFonts w:ascii="Tahoma" w:eastAsia="Tahoma" w:hAnsi="Tahoma" w:cs="Tahoma"/>
          <w:bCs/>
          <w:sz w:val="24"/>
          <w:szCs w:val="24"/>
          <w:rtl/>
        </w:rPr>
      </w:pPr>
    </w:p>
    <w:p w14:paraId="4268659E" w14:textId="77777777" w:rsidR="00135CE1" w:rsidRDefault="00135CE1" w:rsidP="00135CE1">
      <w:pPr>
        <w:bidi/>
        <w:ind w:left="-360" w:right="-360"/>
        <w:jc w:val="center"/>
        <w:rPr>
          <w:rFonts w:ascii="Tahoma" w:eastAsia="Tahoma" w:hAnsi="Tahoma" w:cs="Tahoma"/>
          <w:bCs/>
          <w:sz w:val="24"/>
          <w:szCs w:val="24"/>
          <w:rtl/>
        </w:rPr>
      </w:pPr>
    </w:p>
    <w:p w14:paraId="73410119" w14:textId="77777777" w:rsidR="00135CE1" w:rsidRDefault="00135CE1" w:rsidP="00135CE1">
      <w:pPr>
        <w:bidi/>
        <w:ind w:left="-360" w:right="-360"/>
        <w:jc w:val="center"/>
        <w:rPr>
          <w:rFonts w:ascii="Tahoma" w:eastAsia="Tahoma" w:hAnsi="Tahoma" w:cs="Tahoma"/>
          <w:bCs/>
          <w:sz w:val="24"/>
          <w:szCs w:val="24"/>
          <w:rtl/>
        </w:rPr>
      </w:pPr>
    </w:p>
    <w:p w14:paraId="27454E95" w14:textId="77777777" w:rsidR="00135CE1" w:rsidRDefault="00135CE1" w:rsidP="00135CE1">
      <w:pPr>
        <w:bidi/>
        <w:ind w:left="-360" w:right="-360"/>
        <w:jc w:val="center"/>
        <w:rPr>
          <w:rFonts w:ascii="Tahoma" w:eastAsia="Tahoma" w:hAnsi="Tahoma" w:cs="Tahoma"/>
          <w:bCs/>
          <w:sz w:val="24"/>
          <w:szCs w:val="24"/>
          <w:rtl/>
        </w:rPr>
      </w:pPr>
    </w:p>
    <w:p w14:paraId="5DB0E06B" w14:textId="77777777" w:rsidR="00135CE1" w:rsidRDefault="00135CE1" w:rsidP="00135CE1">
      <w:pPr>
        <w:bidi/>
        <w:ind w:left="-360" w:right="-360"/>
        <w:jc w:val="center"/>
        <w:rPr>
          <w:rFonts w:ascii="Tahoma" w:eastAsia="Tahoma" w:hAnsi="Tahoma" w:cs="Tahoma"/>
          <w:bCs/>
          <w:sz w:val="24"/>
          <w:szCs w:val="24"/>
          <w:rtl/>
        </w:rPr>
      </w:pPr>
    </w:p>
    <w:p w14:paraId="02EAF7DF" w14:textId="77777777" w:rsidR="00135CE1" w:rsidRDefault="00135CE1" w:rsidP="00135CE1">
      <w:pPr>
        <w:bidi/>
        <w:ind w:left="-360" w:right="-360"/>
        <w:jc w:val="center"/>
        <w:rPr>
          <w:rFonts w:ascii="Tahoma" w:eastAsia="Tahoma" w:hAnsi="Tahoma" w:cs="Tahoma"/>
          <w:bCs/>
          <w:sz w:val="24"/>
          <w:szCs w:val="24"/>
          <w:rtl/>
        </w:rPr>
      </w:pPr>
    </w:p>
    <w:p w14:paraId="5F61FFA0" w14:textId="77777777" w:rsidR="00135CE1" w:rsidRDefault="00135CE1" w:rsidP="00135CE1">
      <w:pPr>
        <w:bidi/>
        <w:ind w:left="-360" w:right="-360"/>
        <w:jc w:val="center"/>
        <w:rPr>
          <w:rFonts w:ascii="Tahoma" w:eastAsia="Tahoma" w:hAnsi="Tahoma" w:cs="Tahoma"/>
          <w:bCs/>
          <w:sz w:val="24"/>
          <w:szCs w:val="24"/>
          <w:rtl/>
        </w:rPr>
      </w:pPr>
    </w:p>
    <w:p w14:paraId="703D332D" w14:textId="77777777" w:rsidR="00135CE1" w:rsidRDefault="00135CE1" w:rsidP="00135CE1">
      <w:pPr>
        <w:bidi/>
        <w:ind w:left="-360" w:right="-360"/>
        <w:jc w:val="center"/>
        <w:rPr>
          <w:rFonts w:ascii="Tahoma" w:eastAsia="Tahoma" w:hAnsi="Tahoma" w:cs="Tahoma"/>
          <w:bCs/>
          <w:sz w:val="24"/>
          <w:szCs w:val="24"/>
          <w:rtl/>
        </w:rPr>
      </w:pPr>
    </w:p>
    <w:p w14:paraId="3A614D8A" w14:textId="77777777" w:rsidR="00135CE1" w:rsidRDefault="00135CE1" w:rsidP="00135CE1">
      <w:pPr>
        <w:bidi/>
        <w:ind w:left="-360" w:right="-360"/>
        <w:jc w:val="center"/>
        <w:rPr>
          <w:rFonts w:ascii="Tahoma" w:eastAsia="Tahoma" w:hAnsi="Tahoma" w:cs="Tahoma"/>
          <w:bCs/>
          <w:sz w:val="24"/>
          <w:szCs w:val="24"/>
          <w:rtl/>
        </w:rPr>
      </w:pPr>
    </w:p>
    <w:p w14:paraId="105ADA1D" w14:textId="77777777" w:rsidR="00135CE1" w:rsidRDefault="00135CE1" w:rsidP="00135CE1">
      <w:pPr>
        <w:bidi/>
        <w:ind w:left="-360" w:right="-360"/>
        <w:jc w:val="center"/>
        <w:rPr>
          <w:rFonts w:ascii="Tahoma" w:eastAsia="Tahoma" w:hAnsi="Tahoma" w:cs="Tahoma"/>
          <w:bCs/>
          <w:sz w:val="24"/>
          <w:szCs w:val="24"/>
          <w:rtl/>
        </w:rPr>
      </w:pPr>
    </w:p>
    <w:p w14:paraId="0A30B50A" w14:textId="77777777" w:rsidR="00135CE1" w:rsidRDefault="00135CE1" w:rsidP="00135CE1">
      <w:pPr>
        <w:bidi/>
        <w:ind w:left="-360" w:right="-360"/>
        <w:jc w:val="center"/>
        <w:rPr>
          <w:rFonts w:ascii="Tahoma" w:eastAsia="Tahoma" w:hAnsi="Tahoma" w:cs="Tahoma"/>
          <w:bCs/>
          <w:sz w:val="24"/>
          <w:szCs w:val="24"/>
          <w:rtl/>
        </w:rPr>
      </w:pPr>
    </w:p>
    <w:p w14:paraId="0B546BBA" w14:textId="77777777" w:rsidR="00135CE1" w:rsidRDefault="00135CE1" w:rsidP="00135CE1">
      <w:pPr>
        <w:bidi/>
        <w:ind w:left="-360" w:right="-360"/>
        <w:jc w:val="center"/>
        <w:rPr>
          <w:rFonts w:ascii="Tahoma" w:eastAsia="Tahoma" w:hAnsi="Tahoma" w:cs="Tahoma"/>
          <w:bCs/>
          <w:sz w:val="24"/>
          <w:szCs w:val="24"/>
          <w:rtl/>
        </w:rPr>
      </w:pPr>
    </w:p>
    <w:p w14:paraId="0D1B7A11" w14:textId="77777777" w:rsidR="00135CE1" w:rsidRDefault="00135CE1" w:rsidP="00135CE1">
      <w:pPr>
        <w:bidi/>
        <w:ind w:left="-360" w:right="-360"/>
        <w:jc w:val="center"/>
        <w:rPr>
          <w:rFonts w:ascii="Tahoma" w:eastAsia="Tahoma" w:hAnsi="Tahoma" w:cs="Tahoma"/>
          <w:bCs/>
          <w:sz w:val="24"/>
          <w:szCs w:val="24"/>
          <w:rtl/>
        </w:rPr>
      </w:pPr>
    </w:p>
    <w:p w14:paraId="4EE7ABBC" w14:textId="77777777" w:rsidR="00135CE1" w:rsidRDefault="00135CE1" w:rsidP="00135CE1">
      <w:pPr>
        <w:bidi/>
        <w:ind w:left="-360" w:right="-360"/>
        <w:jc w:val="center"/>
        <w:rPr>
          <w:rFonts w:ascii="Tahoma" w:eastAsia="Tahoma" w:hAnsi="Tahoma" w:cs="Tahoma"/>
          <w:bCs/>
          <w:sz w:val="24"/>
          <w:szCs w:val="24"/>
          <w:rtl/>
        </w:rPr>
      </w:pPr>
    </w:p>
    <w:p w14:paraId="20639403" w14:textId="77777777" w:rsidR="00135CE1" w:rsidRDefault="00135CE1" w:rsidP="00135CE1">
      <w:pPr>
        <w:bidi/>
        <w:ind w:left="-360" w:right="-360"/>
        <w:jc w:val="center"/>
        <w:rPr>
          <w:rFonts w:ascii="Tahoma" w:eastAsia="Tahoma" w:hAnsi="Tahoma" w:cs="Tahoma"/>
          <w:bCs/>
          <w:sz w:val="24"/>
          <w:szCs w:val="24"/>
          <w:rtl/>
        </w:rPr>
      </w:pPr>
    </w:p>
    <w:p w14:paraId="43A13016" w14:textId="77777777" w:rsidR="00135CE1" w:rsidRDefault="00135CE1" w:rsidP="00135CE1">
      <w:pPr>
        <w:bidi/>
        <w:ind w:left="-360" w:right="-360"/>
        <w:jc w:val="center"/>
        <w:rPr>
          <w:rFonts w:ascii="Tahoma" w:eastAsia="Tahoma" w:hAnsi="Tahoma" w:cs="Tahoma"/>
          <w:bCs/>
          <w:sz w:val="24"/>
          <w:szCs w:val="24"/>
          <w:rtl/>
        </w:rPr>
      </w:pPr>
    </w:p>
    <w:p w14:paraId="3EAC67E1" w14:textId="77777777" w:rsidR="00135CE1" w:rsidRDefault="00135CE1" w:rsidP="00135CE1">
      <w:pPr>
        <w:bidi/>
        <w:ind w:left="-360" w:right="-360"/>
        <w:jc w:val="center"/>
        <w:rPr>
          <w:rFonts w:ascii="Tahoma" w:eastAsia="Tahoma" w:hAnsi="Tahoma" w:cs="Tahoma"/>
          <w:bCs/>
          <w:sz w:val="24"/>
          <w:szCs w:val="24"/>
          <w:rtl/>
        </w:rPr>
      </w:pPr>
    </w:p>
    <w:p w14:paraId="3BDBC15A" w14:textId="77777777" w:rsidR="00135CE1" w:rsidRDefault="00135CE1" w:rsidP="00135CE1">
      <w:pPr>
        <w:bidi/>
        <w:ind w:left="-360" w:right="-360"/>
        <w:jc w:val="center"/>
        <w:rPr>
          <w:rFonts w:ascii="Tahoma" w:eastAsia="Tahoma" w:hAnsi="Tahoma" w:cs="Tahoma"/>
          <w:bCs/>
          <w:sz w:val="24"/>
          <w:szCs w:val="24"/>
          <w:rtl/>
        </w:rPr>
      </w:pPr>
    </w:p>
    <w:p w14:paraId="163F3A4F" w14:textId="77777777" w:rsidR="00135CE1" w:rsidRDefault="00135CE1" w:rsidP="00135CE1">
      <w:pPr>
        <w:bidi/>
        <w:ind w:left="-360" w:right="-360"/>
        <w:jc w:val="center"/>
        <w:rPr>
          <w:rFonts w:ascii="Tahoma" w:eastAsia="Tahoma" w:hAnsi="Tahoma" w:cs="Tahoma"/>
          <w:bCs/>
          <w:sz w:val="24"/>
          <w:szCs w:val="24"/>
          <w:rtl/>
        </w:rPr>
      </w:pPr>
    </w:p>
    <w:p w14:paraId="05AD9C78" w14:textId="77777777" w:rsidR="00135CE1" w:rsidRDefault="00135CE1" w:rsidP="00135CE1">
      <w:pPr>
        <w:bidi/>
        <w:ind w:left="-360" w:right="-360"/>
        <w:jc w:val="center"/>
        <w:rPr>
          <w:rFonts w:ascii="Tahoma" w:eastAsia="Tahoma" w:hAnsi="Tahoma" w:cs="Tahoma"/>
          <w:bCs/>
          <w:sz w:val="24"/>
          <w:szCs w:val="24"/>
          <w:rtl/>
        </w:rPr>
      </w:pPr>
    </w:p>
    <w:p w14:paraId="0762E1F5" w14:textId="77777777" w:rsidR="00135CE1" w:rsidRDefault="00135CE1" w:rsidP="00135CE1">
      <w:pPr>
        <w:bidi/>
        <w:ind w:left="-360" w:right="-360"/>
        <w:jc w:val="center"/>
        <w:rPr>
          <w:rFonts w:ascii="Tahoma" w:eastAsia="Tahoma" w:hAnsi="Tahoma" w:cs="Tahoma"/>
          <w:bCs/>
          <w:sz w:val="24"/>
          <w:szCs w:val="24"/>
          <w:rtl/>
        </w:rPr>
      </w:pPr>
    </w:p>
    <w:p w14:paraId="7EE75BD5" w14:textId="77777777" w:rsidR="00135CE1" w:rsidRDefault="00135CE1" w:rsidP="00135CE1">
      <w:pPr>
        <w:bidi/>
        <w:ind w:left="-360" w:right="-360"/>
        <w:jc w:val="center"/>
        <w:rPr>
          <w:rFonts w:ascii="Tahoma" w:eastAsia="Tahoma" w:hAnsi="Tahoma" w:cs="Tahoma"/>
          <w:bCs/>
          <w:sz w:val="24"/>
          <w:szCs w:val="24"/>
          <w:rtl/>
        </w:rPr>
      </w:pPr>
    </w:p>
    <w:p w14:paraId="7CC17126" w14:textId="77777777" w:rsidR="00135CE1" w:rsidRDefault="00135CE1" w:rsidP="00135CE1">
      <w:pPr>
        <w:bidi/>
        <w:ind w:left="-360" w:right="-360"/>
        <w:jc w:val="center"/>
        <w:rPr>
          <w:rFonts w:ascii="Tahoma" w:eastAsia="Tahoma" w:hAnsi="Tahoma" w:cs="Tahoma"/>
          <w:bCs/>
          <w:sz w:val="24"/>
          <w:szCs w:val="24"/>
          <w:rtl/>
        </w:rPr>
      </w:pPr>
    </w:p>
    <w:p w14:paraId="482E3D18" w14:textId="77777777" w:rsidR="00135CE1" w:rsidRDefault="00135CE1" w:rsidP="00135CE1">
      <w:pPr>
        <w:bidi/>
        <w:ind w:left="-360" w:right="-360"/>
        <w:jc w:val="center"/>
        <w:rPr>
          <w:rFonts w:ascii="Tahoma" w:eastAsia="Tahoma" w:hAnsi="Tahoma" w:cs="Tahoma"/>
          <w:bCs/>
          <w:sz w:val="24"/>
          <w:szCs w:val="24"/>
          <w:rtl/>
        </w:rPr>
      </w:pPr>
    </w:p>
    <w:p w14:paraId="00000001" w14:textId="241EAF0D" w:rsidR="00D469DE" w:rsidRPr="00135CE1" w:rsidRDefault="007B19A3" w:rsidP="00135CE1">
      <w:pPr>
        <w:bidi/>
        <w:ind w:left="-360" w:right="-360"/>
        <w:jc w:val="center"/>
        <w:rPr>
          <w:rFonts w:ascii="Tahoma" w:eastAsia="Tahoma" w:hAnsi="Tahoma" w:cs="Tahoma"/>
          <w:bCs/>
          <w:sz w:val="24"/>
          <w:szCs w:val="24"/>
        </w:rPr>
      </w:pPr>
      <w:r w:rsidRPr="00135CE1">
        <w:rPr>
          <w:rFonts w:ascii="Tahoma" w:eastAsia="Tahoma" w:hAnsi="Tahoma" w:cs="Tahoma"/>
          <w:bCs/>
          <w:sz w:val="24"/>
          <w:szCs w:val="24"/>
          <w:rtl/>
        </w:rPr>
        <w:lastRenderedPageBreak/>
        <w:t>حقوق العمال المهدرة في المادة 69 من قانون الخدمة المدنية،</w:t>
      </w:r>
    </w:p>
    <w:p w14:paraId="00000002" w14:textId="77777777" w:rsidR="00D469DE" w:rsidRPr="00135CE1" w:rsidRDefault="007B19A3">
      <w:pPr>
        <w:bidi/>
        <w:ind w:left="-360" w:right="-360"/>
        <w:jc w:val="center"/>
        <w:rPr>
          <w:rFonts w:ascii="Tahoma" w:eastAsia="Tahoma" w:hAnsi="Tahoma" w:cs="Tahoma"/>
          <w:bCs/>
          <w:sz w:val="24"/>
          <w:szCs w:val="24"/>
        </w:rPr>
      </w:pPr>
      <w:r w:rsidRPr="00135CE1">
        <w:rPr>
          <w:rFonts w:ascii="Tahoma" w:eastAsia="Tahoma" w:hAnsi="Tahoma" w:cs="Tahoma"/>
          <w:bCs/>
          <w:sz w:val="24"/>
          <w:szCs w:val="24"/>
          <w:rtl/>
        </w:rPr>
        <w:t xml:space="preserve"> ومدى تعارضها مع الدستور المصري</w:t>
      </w:r>
    </w:p>
    <w:p w14:paraId="00000003" w14:textId="77777777" w:rsidR="00D469DE" w:rsidRPr="00135CE1" w:rsidRDefault="007B19A3">
      <w:pPr>
        <w:bidi/>
        <w:spacing w:before="220" w:line="240" w:lineRule="auto"/>
        <w:ind w:left="-360" w:right="-360"/>
        <w:jc w:val="both"/>
        <w:rPr>
          <w:rFonts w:ascii="Tahoma" w:eastAsia="Tahoma" w:hAnsi="Tahoma" w:cs="Tahoma"/>
          <w:bCs/>
          <w:sz w:val="24"/>
          <w:szCs w:val="24"/>
        </w:rPr>
      </w:pPr>
      <w:r w:rsidRPr="00135CE1">
        <w:rPr>
          <w:rFonts w:ascii="Tahoma" w:eastAsia="Tahoma" w:hAnsi="Tahoma" w:cs="Tahoma"/>
          <w:bCs/>
          <w:sz w:val="24"/>
          <w:szCs w:val="24"/>
          <w:rtl/>
        </w:rPr>
        <w:t xml:space="preserve">مقدمة </w:t>
      </w:r>
    </w:p>
    <w:p w14:paraId="00000004" w14:textId="77777777" w:rsidR="00D469DE" w:rsidRDefault="007B19A3">
      <w:pPr>
        <w:bidi/>
        <w:spacing w:before="220" w:line="240" w:lineRule="auto"/>
        <w:ind w:left="-360" w:right="-360"/>
        <w:jc w:val="both"/>
        <w:rPr>
          <w:rFonts w:ascii="Tahoma" w:eastAsia="Tahoma" w:hAnsi="Tahoma" w:cs="Tahoma"/>
          <w:sz w:val="24"/>
          <w:szCs w:val="24"/>
        </w:rPr>
      </w:pPr>
      <w:r>
        <w:rPr>
          <w:rFonts w:ascii="Tahoma" w:eastAsia="Tahoma" w:hAnsi="Tahoma" w:cs="Tahoma"/>
          <w:sz w:val="24"/>
          <w:szCs w:val="24"/>
          <w:rtl/>
        </w:rPr>
        <w:t xml:space="preserve">بتاريخ 1 نوفمبر 2016 أصدر البرلمان القانون رقم 81 لسنة 2016 المعروف بقانون الخدمة المدنية، ليلغي بذلك القانون رقم 47 لسنة 1978 الخاص بالعاملين المدنيين </w:t>
      </w:r>
      <w:r>
        <w:rPr>
          <w:rFonts w:ascii="Tahoma" w:eastAsia="Tahoma" w:hAnsi="Tahoma" w:cs="Tahoma"/>
          <w:sz w:val="24"/>
          <w:szCs w:val="24"/>
          <w:rtl/>
        </w:rPr>
        <w:t>بالدولة.</w:t>
      </w:r>
    </w:p>
    <w:p w14:paraId="00000005" w14:textId="77777777" w:rsidR="00D469DE" w:rsidRDefault="007B19A3">
      <w:pPr>
        <w:bidi/>
        <w:spacing w:before="220" w:line="240" w:lineRule="auto"/>
        <w:ind w:left="-360" w:right="-360"/>
        <w:jc w:val="both"/>
        <w:rPr>
          <w:rFonts w:ascii="Tahoma" w:eastAsia="Tahoma" w:hAnsi="Tahoma" w:cs="Tahoma"/>
          <w:sz w:val="24"/>
          <w:szCs w:val="24"/>
        </w:rPr>
      </w:pPr>
      <w:r>
        <w:rPr>
          <w:rFonts w:ascii="Tahoma" w:eastAsia="Tahoma" w:hAnsi="Tahoma" w:cs="Tahoma"/>
          <w:sz w:val="24"/>
          <w:szCs w:val="24"/>
          <w:rtl/>
        </w:rPr>
        <w:t xml:space="preserve"> وقد جاءت بعض بنود ذلك القانون، وتحديدا المادة (69) لتمنح جهة الادارة حق فصل العاملين بشكل تعسفي ومخالفا للطريق الذى كان قانون العاملين المدنيين بالدولة "47 لسنة 1978 " قد رسمه وضمنه التدرج في العقوبات ، حرصا على حقوق العاملين و ايضا بالمخالفه للد</w:t>
      </w:r>
      <w:r>
        <w:rPr>
          <w:rFonts w:ascii="Tahoma" w:eastAsia="Tahoma" w:hAnsi="Tahoma" w:cs="Tahoma"/>
          <w:sz w:val="24"/>
          <w:szCs w:val="24"/>
          <w:rtl/>
        </w:rPr>
        <w:t>ستور المصرى.</w:t>
      </w:r>
    </w:p>
    <w:p w14:paraId="00000006" w14:textId="77777777" w:rsidR="00D469DE" w:rsidRDefault="00D469DE">
      <w:pPr>
        <w:bidi/>
        <w:spacing w:before="220" w:line="240" w:lineRule="auto"/>
        <w:ind w:left="-360" w:right="-360"/>
        <w:jc w:val="both"/>
        <w:rPr>
          <w:rFonts w:ascii="Tahoma" w:eastAsia="Tahoma" w:hAnsi="Tahoma" w:cs="Tahoma"/>
          <w:sz w:val="24"/>
          <w:szCs w:val="24"/>
        </w:rPr>
      </w:pPr>
    </w:p>
    <w:p w14:paraId="00000007" w14:textId="77777777" w:rsidR="00D469DE" w:rsidRDefault="007B19A3">
      <w:pPr>
        <w:bidi/>
        <w:spacing w:before="220" w:line="240" w:lineRule="auto"/>
        <w:ind w:left="-360" w:right="-360"/>
        <w:jc w:val="both"/>
        <w:rPr>
          <w:rFonts w:ascii="Tahoma" w:eastAsia="Tahoma" w:hAnsi="Tahoma" w:cs="Tahoma"/>
          <w:sz w:val="24"/>
          <w:szCs w:val="24"/>
        </w:rPr>
      </w:pPr>
      <w:r>
        <w:rPr>
          <w:rFonts w:ascii="Tahoma" w:eastAsia="Tahoma" w:hAnsi="Tahoma" w:cs="Tahoma"/>
          <w:sz w:val="24"/>
          <w:szCs w:val="24"/>
          <w:rtl/>
        </w:rPr>
        <w:t>ولما كان القانون رقم 47 لسنة 1978 "قانون العاملين المدنيين بالدولة" قد تضمن في مواده ضمانات وحقوق للعاملين، و حدد صراحة  الطرق القانونية لتوقيع جزاء على الموظف و عدم توقيع عقوبة الفصل على الموظف  إلا فى ظروف محددة بطرق محددة تضمنها القانون  ،</w:t>
      </w:r>
      <w:r>
        <w:rPr>
          <w:rFonts w:ascii="Tahoma" w:eastAsia="Tahoma" w:hAnsi="Tahoma" w:cs="Tahoma"/>
          <w:sz w:val="24"/>
          <w:szCs w:val="24"/>
          <w:rtl/>
        </w:rPr>
        <w:t xml:space="preserve"> واتاح قبلها 10 عقوبات قبل توقيع عقوبة الفصل. وهي نصا :</w:t>
      </w:r>
    </w:p>
    <w:p w14:paraId="00000008" w14:textId="77777777" w:rsidR="00D469DE" w:rsidRDefault="007B19A3">
      <w:pPr>
        <w:widowControl/>
        <w:pBdr>
          <w:top w:val="nil"/>
          <w:left w:val="nil"/>
          <w:bottom w:val="nil"/>
          <w:right w:val="nil"/>
          <w:between w:val="nil"/>
        </w:pBdr>
        <w:bidi/>
        <w:spacing w:line="240" w:lineRule="auto"/>
        <w:jc w:val="both"/>
        <w:rPr>
          <w:rFonts w:ascii="Tahoma" w:eastAsia="Tahoma" w:hAnsi="Tahoma" w:cs="Tahoma"/>
          <w:b/>
          <w:color w:val="000000"/>
          <w:sz w:val="28"/>
          <w:szCs w:val="28"/>
        </w:rPr>
      </w:pPr>
      <w:r>
        <w:rPr>
          <w:rFonts w:ascii="Tahoma" w:eastAsia="Tahoma" w:hAnsi="Tahoma" w:cs="Tahoma"/>
          <w:b/>
          <w:color w:val="000000"/>
          <w:sz w:val="28"/>
          <w:szCs w:val="28"/>
          <w:rtl/>
        </w:rPr>
        <w:t>مادة (80)</w:t>
      </w:r>
    </w:p>
    <w:p w14:paraId="00000009" w14:textId="77777777" w:rsidR="00D469DE" w:rsidRDefault="007B19A3">
      <w:pPr>
        <w:widowControl/>
        <w:pBdr>
          <w:top w:val="nil"/>
          <w:left w:val="nil"/>
          <w:bottom w:val="nil"/>
          <w:right w:val="nil"/>
          <w:between w:val="nil"/>
        </w:pBdr>
        <w:bidi/>
        <w:spacing w:line="240" w:lineRule="auto"/>
        <w:jc w:val="both"/>
        <w:rPr>
          <w:rFonts w:ascii="Tahoma" w:eastAsia="Tahoma" w:hAnsi="Tahoma" w:cs="Tahoma"/>
          <w:color w:val="000000"/>
          <w:sz w:val="24"/>
          <w:szCs w:val="24"/>
        </w:rPr>
      </w:pPr>
      <w:r>
        <w:rPr>
          <w:rFonts w:ascii="Tahoma" w:eastAsia="Tahoma" w:hAnsi="Tahoma" w:cs="Tahoma"/>
          <w:color w:val="000000"/>
          <w:sz w:val="24"/>
          <w:szCs w:val="24"/>
          <w:rtl/>
        </w:rPr>
        <w:t>" الجزاءات التأديبية التى يجوز توقيعها على العاملين هى :</w:t>
      </w:r>
    </w:p>
    <w:p w14:paraId="0000000A" w14:textId="77777777" w:rsidR="00D469DE" w:rsidRDefault="007B19A3">
      <w:pPr>
        <w:widowControl/>
        <w:pBdr>
          <w:top w:val="nil"/>
          <w:left w:val="nil"/>
          <w:bottom w:val="nil"/>
          <w:right w:val="nil"/>
          <w:between w:val="nil"/>
        </w:pBdr>
        <w:bidi/>
        <w:spacing w:line="240" w:lineRule="auto"/>
        <w:jc w:val="both"/>
        <w:rPr>
          <w:rFonts w:ascii="Tahoma" w:eastAsia="Tahoma" w:hAnsi="Tahoma" w:cs="Tahoma"/>
          <w:color w:val="000000"/>
          <w:sz w:val="24"/>
          <w:szCs w:val="24"/>
        </w:rPr>
      </w:pPr>
      <w:r>
        <w:rPr>
          <w:rFonts w:ascii="Tahoma" w:eastAsia="Tahoma" w:hAnsi="Tahoma" w:cs="Tahoma"/>
          <w:color w:val="000000"/>
          <w:sz w:val="24"/>
          <w:szCs w:val="24"/>
          <w:rtl/>
        </w:rPr>
        <w:t>(1) الانذار .</w:t>
      </w:r>
    </w:p>
    <w:p w14:paraId="0000000B" w14:textId="77777777" w:rsidR="00D469DE" w:rsidRDefault="007B19A3">
      <w:pPr>
        <w:widowControl/>
        <w:pBdr>
          <w:top w:val="nil"/>
          <w:left w:val="nil"/>
          <w:bottom w:val="nil"/>
          <w:right w:val="nil"/>
          <w:between w:val="nil"/>
        </w:pBdr>
        <w:bidi/>
        <w:spacing w:line="240" w:lineRule="auto"/>
        <w:jc w:val="both"/>
        <w:rPr>
          <w:rFonts w:ascii="Tahoma" w:eastAsia="Tahoma" w:hAnsi="Tahoma" w:cs="Tahoma"/>
          <w:color w:val="000000"/>
          <w:sz w:val="24"/>
          <w:szCs w:val="24"/>
        </w:rPr>
      </w:pPr>
      <w:r>
        <w:rPr>
          <w:rFonts w:ascii="Tahoma" w:eastAsia="Tahoma" w:hAnsi="Tahoma" w:cs="Tahoma"/>
          <w:color w:val="000000"/>
          <w:sz w:val="24"/>
          <w:szCs w:val="24"/>
          <w:rtl/>
        </w:rPr>
        <w:t>(2) تأجيل موعد استحقاق العلاوة لمدة لاتجاوز ثلاثة اشهر .</w:t>
      </w:r>
    </w:p>
    <w:p w14:paraId="0000000C" w14:textId="77777777" w:rsidR="00D469DE" w:rsidRDefault="007B19A3">
      <w:pPr>
        <w:widowControl/>
        <w:pBdr>
          <w:top w:val="nil"/>
          <w:left w:val="nil"/>
          <w:bottom w:val="nil"/>
          <w:right w:val="nil"/>
          <w:between w:val="nil"/>
        </w:pBdr>
        <w:bidi/>
        <w:spacing w:line="240" w:lineRule="auto"/>
        <w:jc w:val="both"/>
        <w:rPr>
          <w:rFonts w:ascii="Tahoma" w:eastAsia="Tahoma" w:hAnsi="Tahoma" w:cs="Tahoma"/>
          <w:color w:val="000000"/>
          <w:sz w:val="24"/>
          <w:szCs w:val="24"/>
        </w:rPr>
      </w:pPr>
      <w:r>
        <w:rPr>
          <w:rFonts w:ascii="Tahoma" w:eastAsia="Tahoma" w:hAnsi="Tahoma" w:cs="Tahoma"/>
          <w:color w:val="000000"/>
          <w:sz w:val="24"/>
          <w:szCs w:val="24"/>
          <w:rtl/>
        </w:rPr>
        <w:t>(3) الخصم من الاجر لمدة لاتجاوز شهرين فى السنة .</w:t>
      </w:r>
    </w:p>
    <w:p w14:paraId="0000000D" w14:textId="77777777" w:rsidR="00D469DE" w:rsidRDefault="007B19A3">
      <w:pPr>
        <w:widowControl/>
        <w:pBdr>
          <w:top w:val="nil"/>
          <w:left w:val="nil"/>
          <w:bottom w:val="nil"/>
          <w:right w:val="nil"/>
          <w:between w:val="nil"/>
        </w:pBdr>
        <w:bidi/>
        <w:spacing w:line="240" w:lineRule="auto"/>
        <w:jc w:val="both"/>
        <w:rPr>
          <w:rFonts w:ascii="Tahoma" w:eastAsia="Tahoma" w:hAnsi="Tahoma" w:cs="Tahoma"/>
          <w:color w:val="000000"/>
          <w:sz w:val="24"/>
          <w:szCs w:val="24"/>
        </w:rPr>
      </w:pPr>
      <w:r>
        <w:rPr>
          <w:rFonts w:ascii="Tahoma" w:eastAsia="Tahoma" w:hAnsi="Tahoma" w:cs="Tahoma"/>
          <w:color w:val="000000"/>
          <w:sz w:val="24"/>
          <w:szCs w:val="24"/>
          <w:rtl/>
        </w:rPr>
        <w:t>ولايجوز ان يت</w:t>
      </w:r>
      <w:r>
        <w:rPr>
          <w:rFonts w:ascii="Tahoma" w:eastAsia="Tahoma" w:hAnsi="Tahoma" w:cs="Tahoma"/>
          <w:color w:val="000000"/>
          <w:sz w:val="24"/>
          <w:szCs w:val="24"/>
          <w:rtl/>
        </w:rPr>
        <w:t>جاوز الخصم تنفيذا لهذا الجزاء ربع الاجر شهريا بعد الجزء الجائز الحجز عليه او التنازل عنه قانونا</w:t>
      </w:r>
    </w:p>
    <w:p w14:paraId="0000000E" w14:textId="77777777" w:rsidR="00D469DE" w:rsidRDefault="007B19A3">
      <w:pPr>
        <w:widowControl/>
        <w:pBdr>
          <w:top w:val="nil"/>
          <w:left w:val="nil"/>
          <w:bottom w:val="nil"/>
          <w:right w:val="nil"/>
          <w:between w:val="nil"/>
        </w:pBdr>
        <w:bidi/>
        <w:spacing w:line="240" w:lineRule="auto"/>
        <w:jc w:val="both"/>
        <w:rPr>
          <w:rFonts w:ascii="Tahoma" w:eastAsia="Tahoma" w:hAnsi="Tahoma" w:cs="Tahoma"/>
          <w:color w:val="000000"/>
          <w:sz w:val="24"/>
          <w:szCs w:val="24"/>
        </w:rPr>
      </w:pPr>
      <w:r>
        <w:rPr>
          <w:rFonts w:ascii="Tahoma" w:eastAsia="Tahoma" w:hAnsi="Tahoma" w:cs="Tahoma"/>
          <w:color w:val="000000"/>
          <w:sz w:val="24"/>
          <w:szCs w:val="24"/>
          <w:rtl/>
        </w:rPr>
        <w:t>(4) الحرمان من نصف العلاوة الدورية .</w:t>
      </w:r>
    </w:p>
    <w:p w14:paraId="0000000F" w14:textId="77777777" w:rsidR="00D469DE" w:rsidRDefault="007B19A3">
      <w:pPr>
        <w:widowControl/>
        <w:pBdr>
          <w:top w:val="nil"/>
          <w:left w:val="nil"/>
          <w:bottom w:val="nil"/>
          <w:right w:val="nil"/>
          <w:between w:val="nil"/>
        </w:pBdr>
        <w:bidi/>
        <w:spacing w:line="240" w:lineRule="auto"/>
        <w:jc w:val="both"/>
        <w:rPr>
          <w:rFonts w:ascii="Tahoma" w:eastAsia="Tahoma" w:hAnsi="Tahoma" w:cs="Tahoma"/>
          <w:color w:val="000000"/>
          <w:sz w:val="24"/>
          <w:szCs w:val="24"/>
        </w:rPr>
      </w:pPr>
      <w:r>
        <w:rPr>
          <w:rFonts w:ascii="Tahoma" w:eastAsia="Tahoma" w:hAnsi="Tahoma" w:cs="Tahoma"/>
          <w:color w:val="000000"/>
          <w:sz w:val="24"/>
          <w:szCs w:val="24"/>
          <w:rtl/>
        </w:rPr>
        <w:t>(5) الوقف عن العمل لمدة لاتجاوز ستة اشهر مع صرف نصف الاجر .</w:t>
      </w:r>
    </w:p>
    <w:p w14:paraId="00000010" w14:textId="77777777" w:rsidR="00D469DE" w:rsidRDefault="007B19A3">
      <w:pPr>
        <w:widowControl/>
        <w:pBdr>
          <w:top w:val="nil"/>
          <w:left w:val="nil"/>
          <w:bottom w:val="nil"/>
          <w:right w:val="nil"/>
          <w:between w:val="nil"/>
        </w:pBdr>
        <w:bidi/>
        <w:spacing w:line="240" w:lineRule="auto"/>
        <w:jc w:val="both"/>
        <w:rPr>
          <w:rFonts w:ascii="Tahoma" w:eastAsia="Tahoma" w:hAnsi="Tahoma" w:cs="Tahoma"/>
          <w:color w:val="000000"/>
          <w:sz w:val="24"/>
          <w:szCs w:val="24"/>
        </w:rPr>
      </w:pPr>
      <w:r>
        <w:rPr>
          <w:rFonts w:ascii="Tahoma" w:eastAsia="Tahoma" w:hAnsi="Tahoma" w:cs="Tahoma"/>
          <w:color w:val="000000"/>
          <w:sz w:val="24"/>
          <w:szCs w:val="24"/>
          <w:rtl/>
        </w:rPr>
        <w:t>(6) تاجيل الترقية عند استحقاقها لمدة لاتزيد عن سنتين .</w:t>
      </w:r>
    </w:p>
    <w:p w14:paraId="00000011" w14:textId="77777777" w:rsidR="00D469DE" w:rsidRDefault="007B19A3">
      <w:pPr>
        <w:widowControl/>
        <w:pBdr>
          <w:top w:val="nil"/>
          <w:left w:val="nil"/>
          <w:bottom w:val="nil"/>
          <w:right w:val="nil"/>
          <w:between w:val="nil"/>
        </w:pBdr>
        <w:bidi/>
        <w:spacing w:line="240" w:lineRule="auto"/>
        <w:jc w:val="both"/>
        <w:rPr>
          <w:rFonts w:ascii="Tahoma" w:eastAsia="Tahoma" w:hAnsi="Tahoma" w:cs="Tahoma"/>
          <w:color w:val="000000"/>
          <w:sz w:val="24"/>
          <w:szCs w:val="24"/>
        </w:rPr>
      </w:pPr>
      <w:r>
        <w:rPr>
          <w:rFonts w:ascii="Tahoma" w:eastAsia="Tahoma" w:hAnsi="Tahoma" w:cs="Tahoma"/>
          <w:color w:val="000000"/>
          <w:sz w:val="24"/>
          <w:szCs w:val="24"/>
          <w:rtl/>
        </w:rPr>
        <w:t xml:space="preserve">(7) خفض </w:t>
      </w:r>
      <w:r>
        <w:rPr>
          <w:rFonts w:ascii="Tahoma" w:eastAsia="Tahoma" w:hAnsi="Tahoma" w:cs="Tahoma"/>
          <w:color w:val="000000"/>
          <w:sz w:val="24"/>
          <w:szCs w:val="24"/>
          <w:rtl/>
        </w:rPr>
        <w:t>الاجر فى حدود علاوة .</w:t>
      </w:r>
    </w:p>
    <w:p w14:paraId="00000012" w14:textId="77777777" w:rsidR="00D469DE" w:rsidRDefault="007B19A3">
      <w:pPr>
        <w:widowControl/>
        <w:pBdr>
          <w:top w:val="nil"/>
          <w:left w:val="nil"/>
          <w:bottom w:val="nil"/>
          <w:right w:val="nil"/>
          <w:between w:val="nil"/>
        </w:pBdr>
        <w:bidi/>
        <w:spacing w:line="240" w:lineRule="auto"/>
        <w:jc w:val="both"/>
        <w:rPr>
          <w:rFonts w:ascii="Tahoma" w:eastAsia="Tahoma" w:hAnsi="Tahoma" w:cs="Tahoma"/>
          <w:color w:val="000000"/>
          <w:sz w:val="24"/>
          <w:szCs w:val="24"/>
        </w:rPr>
      </w:pPr>
      <w:r>
        <w:rPr>
          <w:rFonts w:ascii="Tahoma" w:eastAsia="Tahoma" w:hAnsi="Tahoma" w:cs="Tahoma"/>
          <w:color w:val="000000"/>
          <w:sz w:val="24"/>
          <w:szCs w:val="24"/>
          <w:rtl/>
        </w:rPr>
        <w:t>(8) الخفض الى وظيفة فى الدرجه الادنى مباشرة .</w:t>
      </w:r>
    </w:p>
    <w:p w14:paraId="00000013" w14:textId="77777777" w:rsidR="00D469DE" w:rsidRDefault="007B19A3">
      <w:pPr>
        <w:widowControl/>
        <w:pBdr>
          <w:top w:val="nil"/>
          <w:left w:val="nil"/>
          <w:bottom w:val="nil"/>
          <w:right w:val="nil"/>
          <w:between w:val="nil"/>
        </w:pBdr>
        <w:bidi/>
        <w:spacing w:line="240" w:lineRule="auto"/>
        <w:jc w:val="both"/>
        <w:rPr>
          <w:rFonts w:ascii="Tahoma" w:eastAsia="Tahoma" w:hAnsi="Tahoma" w:cs="Tahoma"/>
          <w:color w:val="000000"/>
          <w:sz w:val="24"/>
          <w:szCs w:val="24"/>
        </w:rPr>
      </w:pPr>
      <w:r>
        <w:rPr>
          <w:rFonts w:ascii="Tahoma" w:eastAsia="Tahoma" w:hAnsi="Tahoma" w:cs="Tahoma"/>
          <w:color w:val="000000"/>
          <w:sz w:val="24"/>
          <w:szCs w:val="24"/>
          <w:rtl/>
        </w:rPr>
        <w:t>(9) الخفض الى وظيفة فى الدرجة الادنى مباشرة مع خفض الاجر الى القدر الذى كان عليه قبل الترقية .</w:t>
      </w:r>
    </w:p>
    <w:p w14:paraId="00000014" w14:textId="77777777" w:rsidR="00D469DE" w:rsidRDefault="007B19A3">
      <w:pPr>
        <w:widowControl/>
        <w:pBdr>
          <w:top w:val="nil"/>
          <w:left w:val="nil"/>
          <w:bottom w:val="nil"/>
          <w:right w:val="nil"/>
          <w:between w:val="nil"/>
        </w:pBdr>
        <w:bidi/>
        <w:spacing w:line="240" w:lineRule="auto"/>
        <w:jc w:val="both"/>
        <w:rPr>
          <w:rFonts w:ascii="Tahoma" w:eastAsia="Tahoma" w:hAnsi="Tahoma" w:cs="Tahoma"/>
          <w:color w:val="000000"/>
          <w:sz w:val="24"/>
          <w:szCs w:val="24"/>
        </w:rPr>
      </w:pPr>
      <w:r>
        <w:rPr>
          <w:rFonts w:ascii="Tahoma" w:eastAsia="Tahoma" w:hAnsi="Tahoma" w:cs="Tahoma"/>
          <w:color w:val="000000"/>
          <w:sz w:val="24"/>
          <w:szCs w:val="24"/>
          <w:rtl/>
        </w:rPr>
        <w:t>(10) الاحالة الى المعاش .</w:t>
      </w:r>
    </w:p>
    <w:p w14:paraId="00000015" w14:textId="77777777" w:rsidR="00D469DE" w:rsidRDefault="007B19A3">
      <w:pPr>
        <w:widowControl/>
        <w:pBdr>
          <w:top w:val="nil"/>
          <w:left w:val="nil"/>
          <w:bottom w:val="nil"/>
          <w:right w:val="nil"/>
          <w:between w:val="nil"/>
        </w:pBdr>
        <w:bidi/>
        <w:spacing w:line="240" w:lineRule="auto"/>
        <w:jc w:val="both"/>
        <w:rPr>
          <w:rFonts w:ascii="Tahoma" w:eastAsia="Tahoma" w:hAnsi="Tahoma" w:cs="Tahoma"/>
          <w:b/>
          <w:color w:val="000000"/>
          <w:sz w:val="24"/>
          <w:szCs w:val="24"/>
          <w:u w:val="single"/>
        </w:rPr>
      </w:pPr>
      <w:r>
        <w:rPr>
          <w:rFonts w:ascii="Tahoma" w:eastAsia="Tahoma" w:hAnsi="Tahoma" w:cs="Tahoma"/>
          <w:b/>
          <w:color w:val="000000"/>
          <w:sz w:val="24"/>
          <w:szCs w:val="24"/>
          <w:u w:val="single"/>
          <w:rtl/>
        </w:rPr>
        <w:t>(11) الفصل من الخدمه .</w:t>
      </w:r>
    </w:p>
    <w:p w14:paraId="00000016" w14:textId="77777777" w:rsidR="00D469DE" w:rsidRDefault="00D469DE">
      <w:pPr>
        <w:widowControl/>
        <w:pBdr>
          <w:top w:val="nil"/>
          <w:left w:val="nil"/>
          <w:bottom w:val="nil"/>
          <w:right w:val="nil"/>
          <w:between w:val="nil"/>
        </w:pBdr>
        <w:bidi/>
        <w:spacing w:line="240" w:lineRule="auto"/>
        <w:jc w:val="both"/>
        <w:rPr>
          <w:rFonts w:ascii="Tahoma" w:eastAsia="Tahoma" w:hAnsi="Tahoma" w:cs="Tahoma"/>
          <w:b/>
          <w:color w:val="000000"/>
          <w:sz w:val="24"/>
          <w:szCs w:val="24"/>
          <w:u w:val="single"/>
        </w:rPr>
      </w:pPr>
    </w:p>
    <w:p w14:paraId="00000017" w14:textId="77777777" w:rsidR="00D469DE" w:rsidRDefault="007B19A3">
      <w:pPr>
        <w:widowControl/>
        <w:pBdr>
          <w:top w:val="nil"/>
          <w:left w:val="nil"/>
          <w:bottom w:val="nil"/>
          <w:right w:val="nil"/>
          <w:between w:val="nil"/>
        </w:pBdr>
        <w:bidi/>
        <w:spacing w:line="240" w:lineRule="auto"/>
        <w:jc w:val="both"/>
        <w:rPr>
          <w:rFonts w:ascii="Tahoma" w:eastAsia="Tahoma" w:hAnsi="Tahoma" w:cs="Tahoma"/>
          <w:color w:val="000000"/>
          <w:sz w:val="24"/>
          <w:szCs w:val="24"/>
        </w:rPr>
      </w:pPr>
      <w:r>
        <w:rPr>
          <w:rFonts w:ascii="Tahoma" w:eastAsia="Tahoma" w:hAnsi="Tahoma" w:cs="Tahoma"/>
          <w:color w:val="000000"/>
          <w:sz w:val="24"/>
          <w:szCs w:val="24"/>
          <w:rtl/>
        </w:rPr>
        <w:t xml:space="preserve">اما بالنسبة للعاملين من شاغلى الوظائف </w:t>
      </w:r>
      <w:r>
        <w:rPr>
          <w:rFonts w:ascii="Tahoma" w:eastAsia="Tahoma" w:hAnsi="Tahoma" w:cs="Tahoma"/>
          <w:color w:val="000000"/>
          <w:sz w:val="24"/>
          <w:szCs w:val="24"/>
          <w:rtl/>
        </w:rPr>
        <w:t>العليا فلا توقع عليهم الا الجزاءات التالية :</w:t>
      </w:r>
    </w:p>
    <w:p w14:paraId="00000018" w14:textId="77777777" w:rsidR="00D469DE" w:rsidRDefault="007B19A3">
      <w:pPr>
        <w:widowControl/>
        <w:pBdr>
          <w:top w:val="nil"/>
          <w:left w:val="nil"/>
          <w:bottom w:val="nil"/>
          <w:right w:val="nil"/>
          <w:between w:val="nil"/>
        </w:pBdr>
        <w:bidi/>
        <w:spacing w:line="240" w:lineRule="auto"/>
        <w:jc w:val="both"/>
        <w:rPr>
          <w:rFonts w:ascii="Tahoma" w:eastAsia="Tahoma" w:hAnsi="Tahoma" w:cs="Tahoma"/>
          <w:color w:val="000000"/>
          <w:sz w:val="24"/>
          <w:szCs w:val="24"/>
        </w:rPr>
      </w:pPr>
      <w:r>
        <w:rPr>
          <w:rFonts w:ascii="Tahoma" w:eastAsia="Tahoma" w:hAnsi="Tahoma" w:cs="Tahoma"/>
          <w:color w:val="000000"/>
          <w:sz w:val="24"/>
          <w:szCs w:val="24"/>
          <w:rtl/>
        </w:rPr>
        <w:t>(1) التنبية .</w:t>
      </w:r>
    </w:p>
    <w:p w14:paraId="00000019" w14:textId="77777777" w:rsidR="00D469DE" w:rsidRDefault="007B19A3">
      <w:pPr>
        <w:widowControl/>
        <w:pBdr>
          <w:top w:val="nil"/>
          <w:left w:val="nil"/>
          <w:bottom w:val="nil"/>
          <w:right w:val="nil"/>
          <w:between w:val="nil"/>
        </w:pBdr>
        <w:bidi/>
        <w:spacing w:line="240" w:lineRule="auto"/>
        <w:jc w:val="both"/>
        <w:rPr>
          <w:rFonts w:ascii="Tahoma" w:eastAsia="Tahoma" w:hAnsi="Tahoma" w:cs="Tahoma"/>
          <w:color w:val="000000"/>
          <w:sz w:val="24"/>
          <w:szCs w:val="24"/>
        </w:rPr>
      </w:pPr>
      <w:r>
        <w:rPr>
          <w:rFonts w:ascii="Tahoma" w:eastAsia="Tahoma" w:hAnsi="Tahoma" w:cs="Tahoma"/>
          <w:color w:val="000000"/>
          <w:sz w:val="24"/>
          <w:szCs w:val="24"/>
          <w:rtl/>
        </w:rPr>
        <w:t>(2) اللوم .</w:t>
      </w:r>
    </w:p>
    <w:p w14:paraId="0000001A" w14:textId="77777777" w:rsidR="00D469DE" w:rsidRDefault="007B19A3">
      <w:pPr>
        <w:widowControl/>
        <w:pBdr>
          <w:top w:val="nil"/>
          <w:left w:val="nil"/>
          <w:bottom w:val="nil"/>
          <w:right w:val="nil"/>
          <w:between w:val="nil"/>
        </w:pBdr>
        <w:bidi/>
        <w:spacing w:line="240" w:lineRule="auto"/>
        <w:jc w:val="both"/>
        <w:rPr>
          <w:rFonts w:ascii="Tahoma" w:eastAsia="Tahoma" w:hAnsi="Tahoma" w:cs="Tahoma"/>
          <w:color w:val="000000"/>
          <w:sz w:val="24"/>
          <w:szCs w:val="24"/>
        </w:rPr>
      </w:pPr>
      <w:r>
        <w:rPr>
          <w:rFonts w:ascii="Tahoma" w:eastAsia="Tahoma" w:hAnsi="Tahoma" w:cs="Tahoma"/>
          <w:color w:val="000000"/>
          <w:sz w:val="24"/>
          <w:szCs w:val="24"/>
          <w:rtl/>
        </w:rPr>
        <w:t>(3) الاحالة الى المعاش .</w:t>
      </w:r>
    </w:p>
    <w:p w14:paraId="0000001B" w14:textId="77777777" w:rsidR="00D469DE" w:rsidRDefault="007B19A3">
      <w:pPr>
        <w:widowControl/>
        <w:pBdr>
          <w:top w:val="nil"/>
          <w:left w:val="nil"/>
          <w:bottom w:val="nil"/>
          <w:right w:val="nil"/>
          <w:between w:val="nil"/>
        </w:pBdr>
        <w:bidi/>
        <w:spacing w:line="240" w:lineRule="auto"/>
        <w:jc w:val="both"/>
        <w:rPr>
          <w:rFonts w:ascii="Tahoma" w:eastAsia="Tahoma" w:hAnsi="Tahoma" w:cs="Tahoma"/>
          <w:b/>
          <w:color w:val="000000"/>
          <w:sz w:val="24"/>
          <w:szCs w:val="24"/>
          <w:u w:val="single"/>
        </w:rPr>
      </w:pPr>
      <w:r>
        <w:rPr>
          <w:rFonts w:ascii="Tahoma" w:eastAsia="Tahoma" w:hAnsi="Tahoma" w:cs="Tahoma"/>
          <w:b/>
          <w:color w:val="000000"/>
          <w:sz w:val="24"/>
          <w:szCs w:val="24"/>
          <w:u w:val="single"/>
          <w:rtl/>
        </w:rPr>
        <w:t>(4) الفصل من الخدمة".</w:t>
      </w:r>
    </w:p>
    <w:p w14:paraId="0000001C" w14:textId="77777777" w:rsidR="00D469DE" w:rsidRDefault="00D469DE">
      <w:pPr>
        <w:bidi/>
        <w:spacing w:before="220" w:line="240" w:lineRule="auto"/>
        <w:ind w:left="-360" w:right="-360"/>
        <w:jc w:val="both"/>
        <w:rPr>
          <w:rFonts w:ascii="Tahoma" w:eastAsia="Tahoma" w:hAnsi="Tahoma" w:cs="Tahoma"/>
          <w:sz w:val="24"/>
          <w:szCs w:val="24"/>
        </w:rPr>
      </w:pPr>
    </w:p>
    <w:p w14:paraId="0000001D" w14:textId="77777777" w:rsidR="00D469DE" w:rsidRDefault="007B19A3">
      <w:pPr>
        <w:bidi/>
        <w:spacing w:before="220" w:line="240" w:lineRule="auto"/>
        <w:ind w:left="-360" w:right="-360"/>
        <w:jc w:val="both"/>
        <w:rPr>
          <w:rFonts w:ascii="Tahoma" w:eastAsia="Tahoma" w:hAnsi="Tahoma" w:cs="Tahoma"/>
          <w:sz w:val="24"/>
          <w:szCs w:val="24"/>
        </w:rPr>
      </w:pPr>
      <w:r>
        <w:rPr>
          <w:rFonts w:ascii="Tahoma" w:eastAsia="Tahoma" w:hAnsi="Tahoma" w:cs="Tahoma"/>
          <w:b/>
          <w:sz w:val="36"/>
          <w:szCs w:val="36"/>
          <w:rtl/>
        </w:rPr>
        <w:t>وعلى</w:t>
      </w:r>
      <w:r>
        <w:rPr>
          <w:rFonts w:ascii="Tahoma" w:eastAsia="Tahoma" w:hAnsi="Tahoma" w:cs="Tahoma"/>
          <w:sz w:val="24"/>
          <w:szCs w:val="24"/>
          <w:rtl/>
        </w:rPr>
        <w:t xml:space="preserve"> الرغم من ذلك فقد قام المشرع عند إصداره القانون رقم 81 لسنة 2016 بإلغاء القانون رقم 47 لسنة 1978 بما فيها الحقوق و الضمانات التي تحمي</w:t>
      </w:r>
      <w:r>
        <w:rPr>
          <w:rFonts w:ascii="Tahoma" w:eastAsia="Tahoma" w:hAnsi="Tahoma" w:cs="Tahoma"/>
          <w:sz w:val="24"/>
          <w:szCs w:val="24"/>
          <w:rtl/>
        </w:rPr>
        <w:t xml:space="preserve"> الموظف من توقيع جزاء الفصل، وتحديدا البنود " 5،6" </w:t>
      </w:r>
      <w:r>
        <w:rPr>
          <w:rFonts w:ascii="Tahoma" w:eastAsia="Tahoma" w:hAnsi="Tahoma" w:cs="Tahoma"/>
          <w:sz w:val="24"/>
          <w:szCs w:val="24"/>
          <w:rtl/>
        </w:rPr>
        <w:lastRenderedPageBreak/>
        <w:t>من المادة رقم 69 بقانون الخدمة المدنية  ، ليقرر فصل الموظف بغير الطريق التأديبى، حيث نصت على :</w:t>
      </w:r>
    </w:p>
    <w:p w14:paraId="0000001E" w14:textId="77777777" w:rsidR="00D469DE" w:rsidRDefault="007B19A3">
      <w:pPr>
        <w:bidi/>
        <w:spacing w:before="220" w:line="240" w:lineRule="auto"/>
        <w:ind w:left="-360" w:right="-360"/>
        <w:jc w:val="both"/>
        <w:rPr>
          <w:rFonts w:ascii="Tahoma" w:eastAsia="Tahoma" w:hAnsi="Tahoma" w:cs="Tahoma"/>
          <w:sz w:val="24"/>
          <w:szCs w:val="24"/>
        </w:rPr>
      </w:pPr>
      <w:proofErr w:type="gramStart"/>
      <w:r>
        <w:rPr>
          <w:rFonts w:ascii="Tahoma" w:eastAsia="Tahoma" w:hAnsi="Tahoma" w:cs="Tahoma"/>
          <w:b/>
          <w:sz w:val="32"/>
          <w:szCs w:val="32"/>
        </w:rPr>
        <w:t>"</w:t>
      </w:r>
      <w:r>
        <w:rPr>
          <w:rFonts w:ascii="Tahoma" w:eastAsia="Tahoma" w:hAnsi="Tahoma" w:cs="Tahoma"/>
          <w:sz w:val="24"/>
          <w:szCs w:val="24"/>
          <w:rtl/>
        </w:rPr>
        <w:t xml:space="preserve"> المادة</w:t>
      </w:r>
      <w:proofErr w:type="gramEnd"/>
      <w:r>
        <w:rPr>
          <w:rFonts w:ascii="Tahoma" w:eastAsia="Tahoma" w:hAnsi="Tahoma" w:cs="Tahoma"/>
          <w:sz w:val="24"/>
          <w:szCs w:val="24"/>
          <w:rtl/>
        </w:rPr>
        <w:t xml:space="preserve"> 69 من قانون رقم 81 لسنة 2016 بإصدار قانون الخدمة المدنية</w:t>
      </w:r>
    </w:p>
    <w:p w14:paraId="0000001F" w14:textId="77777777" w:rsidR="00D469DE" w:rsidRDefault="007B19A3">
      <w:pPr>
        <w:bidi/>
        <w:spacing w:before="220" w:line="240" w:lineRule="auto"/>
        <w:ind w:left="-360" w:right="-360"/>
        <w:jc w:val="both"/>
        <w:rPr>
          <w:rFonts w:ascii="Tahoma" w:eastAsia="Tahoma" w:hAnsi="Tahoma" w:cs="Tahoma"/>
          <w:sz w:val="24"/>
          <w:szCs w:val="24"/>
        </w:rPr>
      </w:pPr>
      <w:r>
        <w:rPr>
          <w:rFonts w:ascii="Tahoma" w:eastAsia="Tahoma" w:hAnsi="Tahoma" w:cs="Tahoma"/>
          <w:sz w:val="24"/>
          <w:szCs w:val="24"/>
          <w:rtl/>
        </w:rPr>
        <w:t>تنتهي خدمة الموظف لأحد الأسباب الآتية:</w:t>
      </w:r>
    </w:p>
    <w:p w14:paraId="00000020" w14:textId="77777777" w:rsidR="00D469DE" w:rsidRDefault="007B19A3">
      <w:pPr>
        <w:numPr>
          <w:ilvl w:val="0"/>
          <w:numId w:val="2"/>
        </w:numPr>
        <w:pBdr>
          <w:top w:val="nil"/>
          <w:left w:val="nil"/>
          <w:bottom w:val="nil"/>
          <w:right w:val="nil"/>
          <w:between w:val="nil"/>
        </w:pBdr>
        <w:bidi/>
        <w:spacing w:before="220" w:line="240" w:lineRule="auto"/>
        <w:ind w:right="-360"/>
        <w:jc w:val="both"/>
        <w:rPr>
          <w:rFonts w:ascii="Tahoma" w:eastAsia="Tahoma" w:hAnsi="Tahoma" w:cs="Tahoma"/>
          <w:color w:val="000000"/>
          <w:sz w:val="24"/>
          <w:szCs w:val="24"/>
        </w:rPr>
      </w:pPr>
      <w:r>
        <w:rPr>
          <w:rFonts w:ascii="Tahoma" w:eastAsia="Tahoma" w:hAnsi="Tahoma" w:cs="Tahoma"/>
          <w:color w:val="000000"/>
          <w:sz w:val="24"/>
          <w:szCs w:val="24"/>
        </w:rPr>
        <w:t>.....</w:t>
      </w:r>
      <w:r>
        <w:rPr>
          <w:rFonts w:ascii="Tahoma" w:eastAsia="Tahoma" w:hAnsi="Tahoma" w:cs="Tahoma"/>
          <w:color w:val="000000"/>
          <w:sz w:val="24"/>
          <w:szCs w:val="24"/>
        </w:rPr>
        <w:t>.</w:t>
      </w:r>
    </w:p>
    <w:p w14:paraId="00000021" w14:textId="77777777" w:rsidR="00D469DE" w:rsidRDefault="007B19A3">
      <w:pPr>
        <w:bidi/>
        <w:spacing w:before="220" w:line="240" w:lineRule="auto"/>
        <w:ind w:left="-360" w:right="-360"/>
        <w:jc w:val="both"/>
        <w:rPr>
          <w:rFonts w:ascii="Tahoma" w:eastAsia="Tahoma" w:hAnsi="Tahoma" w:cs="Tahoma"/>
          <w:sz w:val="24"/>
          <w:szCs w:val="24"/>
        </w:rPr>
      </w:pPr>
      <w:r>
        <w:rPr>
          <w:rFonts w:ascii="Tahoma" w:eastAsia="Tahoma" w:hAnsi="Tahoma" w:cs="Tahoma"/>
          <w:sz w:val="24"/>
          <w:szCs w:val="24"/>
        </w:rPr>
        <w:t xml:space="preserve"> </w:t>
      </w:r>
      <w:proofErr w:type="gramStart"/>
      <w:r>
        <w:rPr>
          <w:rFonts w:ascii="Tahoma" w:eastAsia="Tahoma" w:hAnsi="Tahoma" w:cs="Tahoma"/>
          <w:sz w:val="24"/>
          <w:szCs w:val="24"/>
        </w:rPr>
        <w:t>2- .........</w:t>
      </w:r>
      <w:proofErr w:type="gramEnd"/>
    </w:p>
    <w:p w14:paraId="00000022" w14:textId="77777777" w:rsidR="00D469DE" w:rsidRDefault="007B19A3">
      <w:pPr>
        <w:bidi/>
        <w:spacing w:before="220" w:line="240" w:lineRule="auto"/>
        <w:ind w:left="-360" w:right="-360"/>
        <w:jc w:val="both"/>
        <w:rPr>
          <w:rFonts w:ascii="Tahoma" w:eastAsia="Tahoma" w:hAnsi="Tahoma" w:cs="Tahoma"/>
          <w:sz w:val="24"/>
          <w:szCs w:val="24"/>
        </w:rPr>
      </w:pPr>
      <w:r>
        <w:rPr>
          <w:rFonts w:ascii="Tahoma" w:eastAsia="Tahoma" w:hAnsi="Tahoma" w:cs="Tahoma"/>
          <w:sz w:val="24"/>
          <w:szCs w:val="24"/>
        </w:rPr>
        <w:t xml:space="preserve"> </w:t>
      </w:r>
      <w:proofErr w:type="gramStart"/>
      <w:r>
        <w:rPr>
          <w:rFonts w:ascii="Tahoma" w:eastAsia="Tahoma" w:hAnsi="Tahoma" w:cs="Tahoma"/>
          <w:sz w:val="24"/>
          <w:szCs w:val="24"/>
        </w:rPr>
        <w:t>3- .........</w:t>
      </w:r>
      <w:proofErr w:type="gramEnd"/>
    </w:p>
    <w:p w14:paraId="00000023" w14:textId="77777777" w:rsidR="00D469DE" w:rsidRDefault="007B19A3">
      <w:pPr>
        <w:bidi/>
        <w:spacing w:before="220" w:line="240" w:lineRule="auto"/>
        <w:ind w:left="-360" w:right="-360"/>
        <w:jc w:val="both"/>
        <w:rPr>
          <w:rFonts w:ascii="Tahoma" w:eastAsia="Tahoma" w:hAnsi="Tahoma" w:cs="Tahoma"/>
          <w:sz w:val="24"/>
          <w:szCs w:val="24"/>
        </w:rPr>
      </w:pPr>
      <w:r>
        <w:rPr>
          <w:rFonts w:ascii="Tahoma" w:eastAsia="Tahoma" w:hAnsi="Tahoma" w:cs="Tahoma"/>
          <w:sz w:val="24"/>
          <w:szCs w:val="24"/>
        </w:rPr>
        <w:t xml:space="preserve"> </w:t>
      </w:r>
      <w:proofErr w:type="gramStart"/>
      <w:r>
        <w:rPr>
          <w:rFonts w:ascii="Tahoma" w:eastAsia="Tahoma" w:hAnsi="Tahoma" w:cs="Tahoma"/>
          <w:sz w:val="24"/>
          <w:szCs w:val="24"/>
        </w:rPr>
        <w:t>4- .........</w:t>
      </w:r>
      <w:proofErr w:type="gramEnd"/>
    </w:p>
    <w:p w14:paraId="00000024" w14:textId="77777777" w:rsidR="00D469DE" w:rsidRDefault="007B19A3">
      <w:pPr>
        <w:bidi/>
        <w:spacing w:before="220" w:line="240" w:lineRule="auto"/>
        <w:ind w:left="-360" w:right="-360"/>
        <w:jc w:val="both"/>
        <w:rPr>
          <w:rFonts w:ascii="Tahoma" w:eastAsia="Tahoma" w:hAnsi="Tahoma" w:cs="Tahoma"/>
          <w:sz w:val="24"/>
          <w:szCs w:val="24"/>
        </w:rPr>
      </w:pPr>
      <w:r>
        <w:rPr>
          <w:rFonts w:ascii="Tahoma" w:eastAsia="Tahoma" w:hAnsi="Tahoma" w:cs="Tahoma"/>
          <w:sz w:val="24"/>
          <w:szCs w:val="24"/>
          <w:rtl/>
        </w:rPr>
        <w:t xml:space="preserve"> 5- الانقطاع عن العمل بدون إذن خمسة عشر يومًا متتالية ما لم يقدم خلال الخمسة عشر يومًا التالية ما يثبت أن الانقطاع كان بعذر مقبول.</w:t>
      </w:r>
    </w:p>
    <w:p w14:paraId="00000025" w14:textId="77777777" w:rsidR="00D469DE" w:rsidRDefault="007B19A3">
      <w:pPr>
        <w:bidi/>
        <w:spacing w:before="220" w:line="240" w:lineRule="auto"/>
        <w:ind w:left="-360" w:right="-360"/>
        <w:jc w:val="both"/>
        <w:rPr>
          <w:rFonts w:ascii="Tahoma" w:eastAsia="Tahoma" w:hAnsi="Tahoma" w:cs="Tahoma"/>
          <w:sz w:val="24"/>
          <w:szCs w:val="24"/>
        </w:rPr>
      </w:pPr>
      <w:r>
        <w:rPr>
          <w:rFonts w:ascii="Tahoma" w:eastAsia="Tahoma" w:hAnsi="Tahoma" w:cs="Tahoma"/>
          <w:sz w:val="24"/>
          <w:szCs w:val="24"/>
          <w:rtl/>
        </w:rPr>
        <w:t xml:space="preserve"> 6- الانقطاع عن العمل بدون إذن ثلاثين يومًا غير متصلة في السنة</w:t>
      </w:r>
      <w:r>
        <w:rPr>
          <w:rFonts w:ascii="Tahoma" w:eastAsia="Tahoma" w:hAnsi="Tahoma" w:cs="Tahoma"/>
          <w:b/>
          <w:sz w:val="32"/>
          <w:szCs w:val="32"/>
        </w:rPr>
        <w:t>"</w:t>
      </w:r>
      <w:r>
        <w:rPr>
          <w:rFonts w:ascii="Tahoma" w:eastAsia="Tahoma" w:hAnsi="Tahoma" w:cs="Tahoma"/>
          <w:sz w:val="24"/>
          <w:szCs w:val="24"/>
        </w:rPr>
        <w:t>.</w:t>
      </w:r>
    </w:p>
    <w:p w14:paraId="00000026" w14:textId="77777777" w:rsidR="00D469DE" w:rsidRDefault="007B19A3">
      <w:pPr>
        <w:bidi/>
        <w:spacing w:before="220" w:line="240" w:lineRule="auto"/>
        <w:ind w:right="-360"/>
        <w:jc w:val="both"/>
        <w:rPr>
          <w:rFonts w:ascii="Tahoma" w:eastAsia="Tahoma" w:hAnsi="Tahoma" w:cs="Tahoma"/>
          <w:sz w:val="24"/>
          <w:szCs w:val="24"/>
        </w:rPr>
      </w:pPr>
      <w:r>
        <w:rPr>
          <w:rFonts w:ascii="Tahoma" w:eastAsia="Tahoma" w:hAnsi="Tahoma" w:cs="Tahoma"/>
          <w:sz w:val="24"/>
          <w:szCs w:val="24"/>
          <w:rtl/>
        </w:rPr>
        <w:t xml:space="preserve">وهو الامر الذي </w:t>
      </w:r>
      <w:r>
        <w:rPr>
          <w:rFonts w:ascii="Tahoma" w:eastAsia="Tahoma" w:hAnsi="Tahoma" w:cs="Tahoma"/>
          <w:sz w:val="24"/>
          <w:szCs w:val="24"/>
          <w:rtl/>
        </w:rPr>
        <w:t>ينطوي على عوار ومخالفة دستوريةلنص المادة 14 من الدستور المصرى التى نصت صراحا على أنه لا يجوز فصل الموظف بغير الطريق التاديبي.</w:t>
      </w:r>
    </w:p>
    <w:p w14:paraId="00000027" w14:textId="77777777" w:rsidR="00D469DE" w:rsidRDefault="007B19A3">
      <w:pPr>
        <w:bidi/>
        <w:spacing w:before="220" w:line="240" w:lineRule="auto"/>
        <w:ind w:left="-360" w:right="-360"/>
        <w:jc w:val="both"/>
        <w:rPr>
          <w:rFonts w:ascii="Tahoma" w:eastAsia="Tahoma" w:hAnsi="Tahoma" w:cs="Tahoma"/>
          <w:b/>
          <w:sz w:val="24"/>
          <w:szCs w:val="24"/>
        </w:rPr>
      </w:pPr>
      <w:r>
        <w:rPr>
          <w:rFonts w:ascii="Tahoma" w:eastAsia="Tahoma" w:hAnsi="Tahoma" w:cs="Tahoma"/>
          <w:b/>
          <w:sz w:val="24"/>
          <w:szCs w:val="24"/>
          <w:rtl/>
        </w:rPr>
        <w:t>هذه الورقة؟</w:t>
      </w:r>
    </w:p>
    <w:p w14:paraId="00000028" w14:textId="77777777" w:rsidR="00D469DE" w:rsidRDefault="007B19A3">
      <w:pPr>
        <w:bidi/>
        <w:spacing w:before="220" w:line="240" w:lineRule="auto"/>
        <w:ind w:left="-360" w:right="-360"/>
        <w:jc w:val="both"/>
        <w:rPr>
          <w:rFonts w:ascii="Tahoma" w:eastAsia="Tahoma" w:hAnsi="Tahoma" w:cs="Tahoma"/>
          <w:sz w:val="24"/>
          <w:szCs w:val="24"/>
        </w:rPr>
      </w:pPr>
      <w:r>
        <w:rPr>
          <w:rFonts w:ascii="Tahoma" w:eastAsia="Tahoma" w:hAnsi="Tahoma" w:cs="Tahoma"/>
          <w:sz w:val="24"/>
          <w:szCs w:val="24"/>
          <w:rtl/>
        </w:rPr>
        <w:t>تسعى هذه الورقة لتوضيح مخالفة منح جهة الإدارة لتوقيع جزاء الفصل من العمل، الذي نصت عليه المادة 69 من قانون الخدمة المد</w:t>
      </w:r>
      <w:r>
        <w:rPr>
          <w:rFonts w:ascii="Tahoma" w:eastAsia="Tahoma" w:hAnsi="Tahoma" w:cs="Tahoma"/>
          <w:sz w:val="24"/>
          <w:szCs w:val="24"/>
          <w:rtl/>
        </w:rPr>
        <w:t>نية لسنة 2016 ، لاسيما  البنود أرقام (5، 6، 9) من المادة 69 ،و تعارضها مع نصوص الدستور والإعلان العالمي لحقوق الإنسان والعهد الدولي للحقوق الاقتصادية والاجتماعية.</w:t>
      </w:r>
    </w:p>
    <w:p w14:paraId="00000029" w14:textId="77777777" w:rsidR="00D469DE" w:rsidRDefault="00D469DE">
      <w:pPr>
        <w:bidi/>
        <w:spacing w:before="220" w:line="240" w:lineRule="auto"/>
        <w:ind w:left="-360" w:right="-360"/>
        <w:jc w:val="both"/>
        <w:rPr>
          <w:rFonts w:ascii="Tahoma" w:eastAsia="Tahoma" w:hAnsi="Tahoma" w:cs="Tahoma"/>
          <w:sz w:val="24"/>
          <w:szCs w:val="24"/>
        </w:rPr>
      </w:pPr>
    </w:p>
    <w:p w14:paraId="0000002A" w14:textId="77777777" w:rsidR="00D469DE" w:rsidRDefault="007B19A3">
      <w:pPr>
        <w:bidi/>
        <w:spacing w:before="220" w:line="240" w:lineRule="auto"/>
        <w:ind w:left="-360" w:right="-360"/>
        <w:jc w:val="both"/>
        <w:rPr>
          <w:rFonts w:ascii="Tahoma" w:eastAsia="Tahoma" w:hAnsi="Tahoma" w:cs="Tahoma"/>
          <w:b/>
          <w:sz w:val="24"/>
          <w:szCs w:val="24"/>
        </w:rPr>
      </w:pPr>
      <w:r>
        <w:rPr>
          <w:rFonts w:ascii="Tahoma" w:eastAsia="Tahoma" w:hAnsi="Tahoma" w:cs="Tahoma"/>
          <w:b/>
          <w:sz w:val="24"/>
          <w:szCs w:val="24"/>
          <w:rtl/>
        </w:rPr>
        <w:t>اولا: الضمانات الممنوحة للعاملين في العاملين المدنيين بالدولة الذي تم إلغاؤه والتدرج فى الجز</w:t>
      </w:r>
      <w:r>
        <w:rPr>
          <w:rFonts w:ascii="Tahoma" w:eastAsia="Tahoma" w:hAnsi="Tahoma" w:cs="Tahoma"/>
          <w:b/>
          <w:sz w:val="24"/>
          <w:szCs w:val="24"/>
          <w:rtl/>
        </w:rPr>
        <w:t xml:space="preserve">اءات : </w:t>
      </w:r>
    </w:p>
    <w:p w14:paraId="0000002B" w14:textId="77777777" w:rsidR="00D469DE" w:rsidRDefault="007B19A3">
      <w:pPr>
        <w:bidi/>
        <w:spacing w:before="220" w:line="240" w:lineRule="auto"/>
        <w:ind w:left="-360" w:right="-360"/>
        <w:jc w:val="both"/>
        <w:rPr>
          <w:rFonts w:ascii="Tahoma" w:eastAsia="Tahoma" w:hAnsi="Tahoma" w:cs="Tahoma"/>
          <w:sz w:val="24"/>
          <w:szCs w:val="24"/>
        </w:rPr>
      </w:pPr>
      <w:r>
        <w:rPr>
          <w:rFonts w:ascii="Tahoma" w:eastAsia="Tahoma" w:hAnsi="Tahoma" w:cs="Tahoma"/>
          <w:sz w:val="24"/>
          <w:szCs w:val="24"/>
          <w:rtl/>
        </w:rPr>
        <w:t>سرد القانون رقم 47 لسنة 1978  قانون نظام العاملين المدنيين بالدولة الذي تم الغاؤه بموجب قانون الخدمة المدنية 81 لسنه 2016 قد تضمن في المواد من 78 الى 83 الطرق القانونية في توقيع الجزاءات على العامل والتي أخذت في</w:t>
      </w:r>
      <w:r>
        <w:rPr>
          <w:rFonts w:ascii="Tahoma" w:eastAsia="Tahoma" w:hAnsi="Tahoma" w:cs="Tahoma"/>
          <w:sz w:val="24"/>
          <w:szCs w:val="24"/>
          <w:u w:val="single"/>
          <w:rtl/>
        </w:rPr>
        <w:t xml:space="preserve"> التدرج في توقيع الجزاء والذي يبد لفت</w:t>
      </w:r>
      <w:r>
        <w:rPr>
          <w:rFonts w:ascii="Tahoma" w:eastAsia="Tahoma" w:hAnsi="Tahoma" w:cs="Tahoma"/>
          <w:sz w:val="24"/>
          <w:szCs w:val="24"/>
          <w:u w:val="single"/>
          <w:rtl/>
        </w:rPr>
        <w:t xml:space="preserve"> النظر ثم  الانذار ثم  تأجيل موعد استحقاق العلاوة والخصم من الأجر و الحرمان من نصف العلاوة  والوقف عن العمل لمدة  لمدة لا تجاوز ستة أشهر مع صرف نصف الأجر وتأجيل الترقية و خفض الأجر فى حدود العﻻوة و الخفض الى وظيفة فى الدرجة الادنى و الخفض إلى وظيفة فى الدر</w:t>
      </w:r>
      <w:r>
        <w:rPr>
          <w:rFonts w:ascii="Tahoma" w:eastAsia="Tahoma" w:hAnsi="Tahoma" w:cs="Tahoma"/>
          <w:sz w:val="24"/>
          <w:szCs w:val="24"/>
          <w:u w:val="single"/>
          <w:rtl/>
        </w:rPr>
        <w:t>جة الثانية مع خفض الأجر و احالة الى المعاش حتى الى الفصل عن العمل</w:t>
      </w:r>
      <w:r>
        <w:rPr>
          <w:rFonts w:ascii="Tahoma" w:eastAsia="Tahoma" w:hAnsi="Tahoma" w:cs="Tahoma"/>
          <w:sz w:val="24"/>
          <w:szCs w:val="24"/>
          <w:rtl/>
        </w:rPr>
        <w:t>،</w:t>
      </w:r>
      <w:r>
        <w:rPr>
          <w:rFonts w:ascii="Tahoma" w:eastAsia="Tahoma" w:hAnsi="Tahoma" w:cs="Tahoma"/>
          <w:sz w:val="24"/>
          <w:szCs w:val="24"/>
        </w:rPr>
        <w:t xml:space="preserve"> </w:t>
      </w:r>
    </w:p>
    <w:p w14:paraId="0000002C" w14:textId="77777777" w:rsidR="00D469DE" w:rsidRDefault="007B19A3">
      <w:pPr>
        <w:bidi/>
        <w:spacing w:before="220" w:line="240" w:lineRule="auto"/>
        <w:ind w:left="-360" w:right="-360"/>
        <w:jc w:val="both"/>
        <w:rPr>
          <w:rFonts w:ascii="Tahoma" w:eastAsia="Tahoma" w:hAnsi="Tahoma" w:cs="Tahoma"/>
          <w:sz w:val="24"/>
          <w:szCs w:val="24"/>
        </w:rPr>
      </w:pPr>
      <w:r>
        <w:rPr>
          <w:rFonts w:ascii="Tahoma" w:eastAsia="Tahoma" w:hAnsi="Tahoma" w:cs="Tahoma"/>
          <w:sz w:val="24"/>
          <w:szCs w:val="24"/>
          <w:rtl/>
        </w:rPr>
        <w:t>ونص القانون على أنه لا يجوز توقيع الجزاء ، فيما يزيد عن خصم ثلاثة أيام ، الا بعد اجراء تحقيق من الجهة المختصة،  ثم بعد ذلك يتم احاله الموظف الى النيابه الاداريه " في الوظائف العليا"  وهو ا</w:t>
      </w:r>
      <w:r>
        <w:rPr>
          <w:rFonts w:ascii="Tahoma" w:eastAsia="Tahoma" w:hAnsi="Tahoma" w:cs="Tahoma"/>
          <w:sz w:val="24"/>
          <w:szCs w:val="24"/>
          <w:rtl/>
        </w:rPr>
        <w:t xml:space="preserve">لأمر الذي لا يتوفر فى القانون الجديد حيث أباحت المادة 69 منه على أن يجوز لجهه العمل  توقيع  عقوبة الفصل بغير الطريق التأديبي  لتضرب بكل الجزاءات السابقه عرض الحائط. </w:t>
      </w:r>
    </w:p>
    <w:p w14:paraId="0000002D" w14:textId="77777777" w:rsidR="00D469DE" w:rsidRDefault="00D469DE">
      <w:pPr>
        <w:bidi/>
        <w:spacing w:before="220" w:line="240" w:lineRule="auto"/>
        <w:ind w:left="-360" w:right="-360"/>
        <w:jc w:val="both"/>
        <w:rPr>
          <w:rFonts w:ascii="Tahoma" w:eastAsia="Tahoma" w:hAnsi="Tahoma" w:cs="Tahoma"/>
          <w:sz w:val="24"/>
          <w:szCs w:val="24"/>
        </w:rPr>
      </w:pPr>
    </w:p>
    <w:p w14:paraId="0000002E" w14:textId="77777777" w:rsidR="00D469DE" w:rsidRDefault="007B19A3">
      <w:pPr>
        <w:bidi/>
        <w:spacing w:before="220" w:line="240" w:lineRule="auto"/>
        <w:ind w:left="-360" w:right="-360"/>
        <w:jc w:val="both"/>
        <w:rPr>
          <w:rFonts w:ascii="Tahoma" w:eastAsia="Tahoma" w:hAnsi="Tahoma" w:cs="Tahoma"/>
          <w:sz w:val="24"/>
          <w:szCs w:val="24"/>
        </w:rPr>
      </w:pPr>
      <w:r>
        <w:rPr>
          <w:rFonts w:ascii="Tahoma" w:eastAsia="Tahoma" w:hAnsi="Tahoma" w:cs="Tahoma"/>
          <w:b/>
          <w:sz w:val="24"/>
          <w:szCs w:val="24"/>
          <w:rtl/>
        </w:rPr>
        <w:t>ثانيا: مخالفة نص البنود (5، 6، ) من المادة 69 من قانون الخدمة المدنية مع الدستور المصري و</w:t>
      </w:r>
      <w:r>
        <w:rPr>
          <w:rFonts w:ascii="Tahoma" w:eastAsia="Tahoma" w:hAnsi="Tahoma" w:cs="Tahoma"/>
          <w:b/>
          <w:sz w:val="24"/>
          <w:szCs w:val="24"/>
          <w:rtl/>
        </w:rPr>
        <w:t xml:space="preserve">المواثيق </w:t>
      </w:r>
      <w:r>
        <w:rPr>
          <w:rFonts w:ascii="Tahoma" w:eastAsia="Tahoma" w:hAnsi="Tahoma" w:cs="Tahoma"/>
          <w:b/>
          <w:sz w:val="24"/>
          <w:szCs w:val="24"/>
          <w:rtl/>
        </w:rPr>
        <w:lastRenderedPageBreak/>
        <w:t>الدولية المصدق عليها في مصر.</w:t>
      </w:r>
    </w:p>
    <w:p w14:paraId="0000002F" w14:textId="77777777" w:rsidR="00D469DE" w:rsidRDefault="007B19A3">
      <w:pPr>
        <w:numPr>
          <w:ilvl w:val="0"/>
          <w:numId w:val="3"/>
        </w:numPr>
        <w:pBdr>
          <w:top w:val="nil"/>
          <w:left w:val="nil"/>
          <w:bottom w:val="nil"/>
          <w:right w:val="nil"/>
          <w:between w:val="nil"/>
        </w:pBdr>
        <w:bidi/>
        <w:spacing w:before="220" w:line="240" w:lineRule="auto"/>
        <w:ind w:right="-360"/>
        <w:jc w:val="both"/>
        <w:rPr>
          <w:color w:val="000000"/>
          <w:sz w:val="24"/>
          <w:szCs w:val="24"/>
        </w:rPr>
      </w:pPr>
      <w:r>
        <w:rPr>
          <w:rFonts w:ascii="Tahoma" w:eastAsia="Tahoma" w:hAnsi="Tahoma" w:cs="Tahoma"/>
          <w:b/>
          <w:color w:val="000000"/>
          <w:sz w:val="24"/>
          <w:szCs w:val="24"/>
          <w:rtl/>
        </w:rPr>
        <w:t>تنص المادة 14 من الدستور المصري على:</w:t>
      </w:r>
    </w:p>
    <w:p w14:paraId="00000030" w14:textId="77777777" w:rsidR="00D469DE" w:rsidRDefault="007B19A3">
      <w:pPr>
        <w:bidi/>
        <w:spacing w:before="220" w:line="240" w:lineRule="auto"/>
        <w:ind w:left="-360" w:right="-360"/>
        <w:jc w:val="both"/>
        <w:rPr>
          <w:rFonts w:ascii="Mangal" w:eastAsia="Mangal" w:hAnsi="Mangal" w:cs="Mangal"/>
          <w:u w:val="single"/>
        </w:rPr>
      </w:pPr>
      <w:r>
        <w:rPr>
          <w:rFonts w:ascii="Tahoma" w:eastAsia="Tahoma" w:hAnsi="Tahoma" w:cs="Tahoma"/>
          <w:u w:val="single"/>
          <w:rtl/>
        </w:rPr>
        <w:t xml:space="preserve">(حيث ان الوظائف العامة حق للمواطنين على أساس الكفاءة، ودون محاباة أو وساطة، وتكليف للقائمين بها لخدمة الشعب، وتكفل الدولة حقوقهم وحمايتهم، وقيامهم بأداء واجباتهم فى رعاية مصالح </w:t>
      </w:r>
      <w:r>
        <w:rPr>
          <w:rFonts w:ascii="Tahoma" w:eastAsia="Tahoma" w:hAnsi="Tahoma" w:cs="Tahoma"/>
          <w:u w:val="single"/>
          <w:rtl/>
        </w:rPr>
        <w:t>الشعب، ولا يجوز فصلهم بغير الطريق التأديبى، إلا فى الأحوال التي يحددها القانون).</w:t>
      </w:r>
    </w:p>
    <w:p w14:paraId="00000031" w14:textId="77777777" w:rsidR="00D469DE" w:rsidRDefault="007B19A3">
      <w:pPr>
        <w:bidi/>
        <w:spacing w:before="220" w:line="240" w:lineRule="auto"/>
        <w:ind w:left="-360" w:right="-360"/>
        <w:jc w:val="both"/>
        <w:rPr>
          <w:rFonts w:ascii="Tahoma" w:eastAsia="Tahoma" w:hAnsi="Tahoma" w:cs="Tahoma"/>
          <w:sz w:val="24"/>
          <w:szCs w:val="24"/>
        </w:rPr>
      </w:pPr>
      <w:r>
        <w:rPr>
          <w:rFonts w:ascii="Tahoma" w:eastAsia="Tahoma" w:hAnsi="Tahoma" w:cs="Tahoma"/>
          <w:sz w:val="24"/>
          <w:szCs w:val="24"/>
          <w:rtl/>
        </w:rPr>
        <w:t xml:space="preserve">الا ان قانون  الخدمة المدنيه رقم 81 لسنه 2016  فى بنودة 5 و 6 و  قد نص صراحة على فصل الموظف بدون الرجوع للطرق التأديببه : </w:t>
      </w:r>
      <w:r>
        <w:rPr>
          <w:rFonts w:ascii="Tahoma" w:eastAsia="Tahoma" w:hAnsi="Tahoma" w:cs="Tahoma"/>
          <w:b/>
          <w:sz w:val="24"/>
          <w:szCs w:val="24"/>
        </w:rPr>
        <w:t xml:space="preserve">  </w:t>
      </w:r>
    </w:p>
    <w:p w14:paraId="00000032" w14:textId="77777777" w:rsidR="00D469DE" w:rsidRDefault="007B19A3">
      <w:pPr>
        <w:pBdr>
          <w:top w:val="nil"/>
          <w:left w:val="nil"/>
          <w:bottom w:val="nil"/>
          <w:right w:val="nil"/>
          <w:between w:val="nil"/>
        </w:pBdr>
        <w:bidi/>
        <w:spacing w:before="220" w:line="240" w:lineRule="auto"/>
        <w:ind w:left="-360" w:right="-360"/>
        <w:jc w:val="both"/>
        <w:rPr>
          <w:rFonts w:ascii="Tahoma" w:eastAsia="Tahoma" w:hAnsi="Tahoma" w:cs="Tahoma"/>
          <w:b/>
          <w:color w:val="000000"/>
          <w:sz w:val="24"/>
          <w:szCs w:val="24"/>
        </w:rPr>
      </w:pPr>
      <w:r>
        <w:rPr>
          <w:rFonts w:ascii="Tahoma" w:eastAsia="Tahoma" w:hAnsi="Tahoma" w:cs="Tahoma"/>
          <w:b/>
          <w:color w:val="000000"/>
          <w:sz w:val="24"/>
          <w:szCs w:val="24"/>
          <w:rtl/>
        </w:rPr>
        <w:t xml:space="preserve">ينص البند الـ"5" من المادة "69" من قانون الخدمة </w:t>
      </w:r>
      <w:r>
        <w:rPr>
          <w:rFonts w:ascii="Tahoma" w:eastAsia="Tahoma" w:hAnsi="Tahoma" w:cs="Tahoma"/>
          <w:b/>
          <w:color w:val="000000"/>
          <w:sz w:val="24"/>
          <w:szCs w:val="24"/>
          <w:rtl/>
        </w:rPr>
        <w:t>المدنية على أنه:</w:t>
      </w:r>
    </w:p>
    <w:p w14:paraId="00000033" w14:textId="77777777" w:rsidR="00D469DE" w:rsidRDefault="007B19A3">
      <w:pPr>
        <w:pBdr>
          <w:top w:val="nil"/>
          <w:left w:val="nil"/>
          <w:bottom w:val="nil"/>
          <w:right w:val="nil"/>
          <w:between w:val="nil"/>
        </w:pBdr>
        <w:bidi/>
        <w:spacing w:before="220" w:line="240" w:lineRule="auto"/>
        <w:ind w:left="-360" w:right="-360"/>
        <w:jc w:val="both"/>
        <w:rPr>
          <w:rFonts w:ascii="Tahoma" w:eastAsia="Tahoma" w:hAnsi="Tahoma" w:cs="Tahoma"/>
          <w:color w:val="000000"/>
          <w:sz w:val="24"/>
          <w:szCs w:val="24"/>
        </w:rPr>
      </w:pPr>
      <w:r>
        <w:rPr>
          <w:rFonts w:ascii="Tahoma" w:eastAsia="Tahoma" w:hAnsi="Tahoma" w:cs="Tahoma"/>
          <w:b/>
          <w:color w:val="000000"/>
          <w:sz w:val="24"/>
          <w:szCs w:val="24"/>
          <w:rtl/>
        </w:rPr>
        <w:t xml:space="preserve"> "تنتهي خدمة الموظف لأ</w:t>
      </w:r>
      <w:r>
        <w:rPr>
          <w:rFonts w:ascii="Tahoma" w:eastAsia="Tahoma" w:hAnsi="Tahoma" w:cs="Tahoma"/>
          <w:color w:val="000000"/>
          <w:sz w:val="24"/>
          <w:szCs w:val="24"/>
          <w:rtl/>
        </w:rPr>
        <w:t>حد الأسباب ومنها الانقطاع عن العمل بدون إذن خمسة عشر يوما متتالية ما لم يقدم خلال الخمسة عشر يوما التالية ما يثبت أن الانقطاع كان</w:t>
      </w:r>
      <w:r>
        <w:rPr>
          <w:rFonts w:ascii="Tahoma" w:eastAsia="Tahoma" w:hAnsi="Tahoma" w:cs="Tahoma"/>
          <w:b/>
          <w:color w:val="000000"/>
          <w:sz w:val="24"/>
          <w:szCs w:val="24"/>
          <w:rtl/>
        </w:rPr>
        <w:t xml:space="preserve"> بعذر مقبول".</w:t>
      </w:r>
    </w:p>
    <w:p w14:paraId="00000034" w14:textId="77777777" w:rsidR="00D469DE" w:rsidRDefault="00D469DE">
      <w:pPr>
        <w:pBdr>
          <w:top w:val="nil"/>
          <w:left w:val="nil"/>
          <w:bottom w:val="nil"/>
          <w:right w:val="nil"/>
          <w:between w:val="nil"/>
        </w:pBdr>
        <w:bidi/>
        <w:spacing w:before="220" w:line="240" w:lineRule="auto"/>
        <w:ind w:left="-360" w:right="-360"/>
        <w:jc w:val="both"/>
        <w:rPr>
          <w:rFonts w:ascii="Tahoma" w:eastAsia="Tahoma" w:hAnsi="Tahoma" w:cs="Tahoma"/>
          <w:color w:val="000000"/>
          <w:sz w:val="24"/>
          <w:szCs w:val="24"/>
        </w:rPr>
      </w:pPr>
    </w:p>
    <w:p w14:paraId="00000035" w14:textId="77777777" w:rsidR="00D469DE" w:rsidRDefault="007B19A3">
      <w:pPr>
        <w:pBdr>
          <w:top w:val="nil"/>
          <w:left w:val="nil"/>
          <w:bottom w:val="nil"/>
          <w:right w:val="nil"/>
          <w:between w:val="nil"/>
        </w:pBdr>
        <w:bidi/>
        <w:spacing w:after="150"/>
        <w:ind w:left="-449"/>
        <w:jc w:val="both"/>
        <w:rPr>
          <w:rFonts w:ascii="Tahoma" w:eastAsia="Tahoma" w:hAnsi="Tahoma" w:cs="Tahoma"/>
          <w:color w:val="000000"/>
          <w:sz w:val="24"/>
          <w:szCs w:val="24"/>
        </w:rPr>
      </w:pPr>
      <w:bookmarkStart w:id="1" w:name="bookmark=id.gjdgxs" w:colFirst="0" w:colLast="0"/>
      <w:bookmarkEnd w:id="1"/>
      <w:r>
        <w:rPr>
          <w:rFonts w:ascii="Tahoma" w:eastAsia="Tahoma" w:hAnsi="Tahoma" w:cs="Tahoma"/>
          <w:color w:val="000000"/>
          <w:sz w:val="24"/>
          <w:szCs w:val="24"/>
          <w:rtl/>
        </w:rPr>
        <w:t>كما تنص المادة 176 من اللائحة التنفيذية لقانون الخدمة المدنية رقم 81 لسنة</w:t>
      </w:r>
      <w:r>
        <w:rPr>
          <w:rFonts w:ascii="Tahoma" w:eastAsia="Tahoma" w:hAnsi="Tahoma" w:cs="Tahoma"/>
          <w:color w:val="000000"/>
          <w:sz w:val="24"/>
          <w:szCs w:val="24"/>
          <w:rtl/>
        </w:rPr>
        <w:t xml:space="preserve"> 2016، "إذا انقطع الموظف عن عمله بدون إذن خمسة عشر يوما متتالية، ولم يقدم خلال الخمسة عشر يوما التالية ما يثبت أن انقطاعه كان بعذر مقبول، أو إذا انقطع الموظف عن عمله بدون إذن ثلاثين يوما غير متصلة فى السنة </w:t>
      </w:r>
      <w:r>
        <w:rPr>
          <w:rFonts w:ascii="Tahoma" w:eastAsia="Tahoma" w:hAnsi="Tahoma" w:cs="Tahoma"/>
          <w:b/>
          <w:color w:val="000000"/>
          <w:sz w:val="24"/>
          <w:szCs w:val="24"/>
          <w:rtl/>
        </w:rPr>
        <w:t>ولو عوقب تأديبيا</w:t>
      </w:r>
      <w:r>
        <w:rPr>
          <w:rFonts w:ascii="Tahoma" w:eastAsia="Tahoma" w:hAnsi="Tahoma" w:cs="Tahoma"/>
          <w:color w:val="000000"/>
          <w:sz w:val="24"/>
          <w:szCs w:val="24"/>
          <w:rtl/>
        </w:rPr>
        <w:t>، عن مدد الانقطاع غير المتصل يجب ع</w:t>
      </w:r>
      <w:r>
        <w:rPr>
          <w:rFonts w:ascii="Tahoma" w:eastAsia="Tahoma" w:hAnsi="Tahoma" w:cs="Tahoma"/>
          <w:color w:val="000000"/>
          <w:sz w:val="24"/>
          <w:szCs w:val="24"/>
          <w:rtl/>
        </w:rPr>
        <w:t>لى السلطة المختصة أو من تفوضه إنهاء خدمته من تاريخ انقطاعه المتصل عن العمل، أو من اليوم التالى لاكتمال انقطاعه غير المتصل.</w:t>
      </w:r>
    </w:p>
    <w:p w14:paraId="00000036" w14:textId="77777777" w:rsidR="00D469DE" w:rsidRDefault="007B19A3">
      <w:pPr>
        <w:bidi/>
        <w:spacing w:after="150"/>
        <w:jc w:val="both"/>
        <w:rPr>
          <w:rFonts w:ascii="Tahoma" w:eastAsia="Tahoma" w:hAnsi="Tahoma" w:cs="Tahoma"/>
        </w:rPr>
      </w:pPr>
      <w:r>
        <w:rPr>
          <w:rFonts w:ascii="Tahoma" w:eastAsia="Tahoma" w:hAnsi="Tahoma" w:cs="Tahoma"/>
          <w:b/>
          <w:rtl/>
        </w:rPr>
        <w:t>البند 6 -الانقطاع عن العمل بدون إذن خمسة عشر يومًا متتالية ما لم يقدم خلال الخمسة عشـــر يومًا التالية ما يثبت أن الانقطاع كان بعذر م</w:t>
      </w:r>
      <w:r>
        <w:rPr>
          <w:rFonts w:ascii="Tahoma" w:eastAsia="Tahoma" w:hAnsi="Tahoma" w:cs="Tahoma"/>
          <w:b/>
          <w:rtl/>
        </w:rPr>
        <w:t>قبول.</w:t>
      </w:r>
    </w:p>
    <w:p w14:paraId="00000037" w14:textId="77777777" w:rsidR="00D469DE" w:rsidRDefault="007B19A3">
      <w:pPr>
        <w:bidi/>
        <w:spacing w:before="220" w:line="240" w:lineRule="auto"/>
        <w:ind w:left="-360" w:right="-360"/>
        <w:jc w:val="both"/>
        <w:rPr>
          <w:rFonts w:ascii="Tahoma" w:eastAsia="Tahoma" w:hAnsi="Tahoma" w:cs="Tahoma"/>
          <w:sz w:val="24"/>
          <w:szCs w:val="24"/>
        </w:rPr>
      </w:pPr>
      <w:r>
        <w:rPr>
          <w:rFonts w:ascii="Tahoma" w:eastAsia="Tahoma" w:hAnsi="Tahoma" w:cs="Tahoma"/>
          <w:sz w:val="24"/>
          <w:szCs w:val="24"/>
          <w:rtl/>
        </w:rPr>
        <w:t xml:space="preserve">اى ان المشرع اعتبر  انقطاع الموظف عن العمل 15 يوم متصلة أو 30 يوم منفصلة - يوجب - إنهاء الخدمة دون حاجة إلى إنذار أواجراء مسبق قبل صدور قرار الإنهاء في اللائحة التنفيذية لقانون الخدمة المدنية </w:t>
      </w:r>
    </w:p>
    <w:p w14:paraId="00000038" w14:textId="77777777" w:rsidR="00D469DE" w:rsidRDefault="007B19A3">
      <w:pPr>
        <w:pBdr>
          <w:top w:val="nil"/>
          <w:left w:val="nil"/>
          <w:bottom w:val="nil"/>
          <w:right w:val="nil"/>
          <w:between w:val="nil"/>
        </w:pBdr>
        <w:bidi/>
        <w:spacing w:after="140"/>
        <w:ind w:left="-269" w:right="-360"/>
        <w:jc w:val="both"/>
        <w:rPr>
          <w:rFonts w:ascii="Tahoma" w:eastAsia="Tahoma" w:hAnsi="Tahoma" w:cs="Tahoma"/>
          <w:color w:val="000000"/>
          <w:sz w:val="24"/>
          <w:szCs w:val="24"/>
        </w:rPr>
      </w:pPr>
      <w:r>
        <w:rPr>
          <w:rFonts w:ascii="Tahoma" w:eastAsia="Tahoma" w:hAnsi="Tahoma" w:cs="Tahoma"/>
          <w:color w:val="000000"/>
          <w:sz w:val="24"/>
          <w:szCs w:val="24"/>
          <w:rtl/>
        </w:rPr>
        <w:t xml:space="preserve">ويتلاحظ أن النص فرق في حالة الانقطاع عن العمل بين أمرين </w:t>
      </w:r>
      <w:r>
        <w:rPr>
          <w:rFonts w:ascii="Tahoma" w:eastAsia="Tahoma" w:hAnsi="Tahoma" w:cs="Tahoma"/>
          <w:color w:val="000000"/>
          <w:sz w:val="24"/>
          <w:szCs w:val="24"/>
          <w:rtl/>
        </w:rPr>
        <w:t>جعل أحدهما إنهاء الخدمة وجوبيا  دون أي إجراء مسبق والأخرى جعل الإنهاء معلق على شرط.</w:t>
      </w:r>
    </w:p>
    <w:p w14:paraId="00000039" w14:textId="77777777" w:rsidR="00D469DE" w:rsidRDefault="007B19A3">
      <w:pPr>
        <w:pBdr>
          <w:top w:val="nil"/>
          <w:left w:val="nil"/>
          <w:bottom w:val="nil"/>
          <w:right w:val="nil"/>
          <w:between w:val="nil"/>
        </w:pBdr>
        <w:bidi/>
        <w:spacing w:after="140"/>
        <w:ind w:left="-269" w:right="-360"/>
        <w:jc w:val="both"/>
        <w:rPr>
          <w:rFonts w:ascii="Tahoma" w:eastAsia="Tahoma" w:hAnsi="Tahoma" w:cs="Tahoma"/>
          <w:color w:val="000000"/>
          <w:sz w:val="24"/>
          <w:szCs w:val="24"/>
        </w:rPr>
      </w:pPr>
      <w:r>
        <w:rPr>
          <w:rFonts w:ascii="Tahoma" w:eastAsia="Tahoma" w:hAnsi="Tahoma" w:cs="Tahoma"/>
          <w:color w:val="000000"/>
          <w:sz w:val="24"/>
          <w:szCs w:val="24"/>
        </w:rPr>
        <w:br/>
      </w:r>
      <w:r>
        <w:rPr>
          <w:rFonts w:ascii="Tahoma" w:eastAsia="Tahoma" w:hAnsi="Tahoma" w:cs="Tahoma"/>
          <w:b/>
          <w:color w:val="000000"/>
          <w:sz w:val="24"/>
          <w:szCs w:val="24"/>
          <w:rtl/>
        </w:rPr>
        <w:t>أ:  حالة الإنهاء الوجوبى للعمل بمجرد تحقق الانقطاع</w:t>
      </w:r>
      <w:r>
        <w:rPr>
          <w:rFonts w:ascii="Tahoma" w:eastAsia="Tahoma" w:hAnsi="Tahoma" w:cs="Tahoma"/>
          <w:color w:val="000000"/>
          <w:sz w:val="24"/>
          <w:szCs w:val="24"/>
        </w:rPr>
        <w:t>:</w:t>
      </w:r>
    </w:p>
    <w:p w14:paraId="0000003A" w14:textId="77777777" w:rsidR="00D469DE" w:rsidRDefault="007B19A3">
      <w:pPr>
        <w:pBdr>
          <w:top w:val="nil"/>
          <w:left w:val="nil"/>
          <w:bottom w:val="nil"/>
          <w:right w:val="nil"/>
          <w:between w:val="nil"/>
        </w:pBdr>
        <w:bidi/>
        <w:spacing w:after="140"/>
        <w:ind w:left="-269" w:right="-360"/>
        <w:jc w:val="both"/>
        <w:rPr>
          <w:rFonts w:ascii="Tahoma" w:eastAsia="Tahoma" w:hAnsi="Tahoma" w:cs="Tahoma"/>
          <w:color w:val="000000"/>
          <w:sz w:val="24"/>
          <w:szCs w:val="24"/>
        </w:rPr>
      </w:pPr>
      <w:r>
        <w:rPr>
          <w:rFonts w:ascii="Tahoma" w:eastAsia="Tahoma" w:hAnsi="Tahoma" w:cs="Tahoma"/>
          <w:color w:val="000000"/>
          <w:sz w:val="24"/>
          <w:szCs w:val="24"/>
          <w:rtl/>
        </w:rPr>
        <w:t xml:space="preserve">-فجعل المشرع إنهاء الخدمة وجوبيا وحتميا بمجرد الانقطاع عن العمل لمدة ثلاثون يوماً غير متصلة في السنة بدون إذن حيث يؤدى </w:t>
      </w:r>
      <w:r>
        <w:rPr>
          <w:rFonts w:ascii="Tahoma" w:eastAsia="Tahoma" w:hAnsi="Tahoma" w:cs="Tahoma"/>
          <w:color w:val="000000"/>
          <w:sz w:val="24"/>
          <w:szCs w:val="24"/>
          <w:rtl/>
        </w:rPr>
        <w:t>حتما إلى إنهاء خدمة الموظف حتى ولو كان هناك مبرر للغياب لدى الموظف.</w:t>
      </w:r>
    </w:p>
    <w:p w14:paraId="0000003B" w14:textId="77777777" w:rsidR="00D469DE" w:rsidRDefault="007B19A3">
      <w:pPr>
        <w:pBdr>
          <w:top w:val="nil"/>
          <w:left w:val="nil"/>
          <w:bottom w:val="nil"/>
          <w:right w:val="nil"/>
          <w:between w:val="nil"/>
        </w:pBdr>
        <w:bidi/>
        <w:spacing w:after="150"/>
        <w:jc w:val="both"/>
        <w:rPr>
          <w:rFonts w:ascii="Tahoma" w:eastAsia="Tahoma" w:hAnsi="Tahoma" w:cs="Tahoma"/>
          <w:b/>
          <w:color w:val="000000"/>
          <w:sz w:val="24"/>
          <w:szCs w:val="24"/>
        </w:rPr>
      </w:pPr>
      <w:r>
        <w:rPr>
          <w:rFonts w:ascii="Tahoma" w:eastAsia="Tahoma" w:hAnsi="Tahoma" w:cs="Tahoma"/>
          <w:b/>
          <w:color w:val="000000"/>
          <w:sz w:val="24"/>
          <w:szCs w:val="24"/>
          <w:rtl/>
        </w:rPr>
        <w:t>ب:  حالة الإنهاء المعلق على شرط:</w:t>
      </w:r>
    </w:p>
    <w:p w14:paraId="0000003C" w14:textId="77777777" w:rsidR="00D469DE" w:rsidRDefault="007B19A3">
      <w:pPr>
        <w:pBdr>
          <w:top w:val="nil"/>
          <w:left w:val="nil"/>
          <w:bottom w:val="nil"/>
          <w:right w:val="nil"/>
          <w:between w:val="nil"/>
        </w:pBdr>
        <w:bidi/>
        <w:spacing w:after="150"/>
        <w:jc w:val="both"/>
        <w:rPr>
          <w:rFonts w:ascii="Mangal" w:eastAsia="Mangal" w:hAnsi="Mangal" w:cs="Mangal"/>
          <w:b/>
          <w:color w:val="000000"/>
          <w:sz w:val="24"/>
          <w:szCs w:val="24"/>
        </w:rPr>
      </w:pPr>
      <w:r>
        <w:rPr>
          <w:rFonts w:ascii="Tahoma" w:eastAsia="Tahoma" w:hAnsi="Tahoma" w:cs="Tahoma"/>
          <w:b/>
          <w:color w:val="000000"/>
          <w:sz w:val="24"/>
          <w:szCs w:val="24"/>
          <w:rtl/>
        </w:rPr>
        <w:t>- وهى حالة الانقطاع عن العمل بدون إذن خمسة عشر يوماً متتالية يؤدى إلى إنهاء خدمة الموظف ما لم:</w:t>
      </w:r>
    </w:p>
    <w:p w14:paraId="0000003D" w14:textId="77777777" w:rsidR="00D469DE" w:rsidRDefault="007B19A3">
      <w:pPr>
        <w:pBdr>
          <w:top w:val="nil"/>
          <w:left w:val="nil"/>
          <w:bottom w:val="nil"/>
          <w:right w:val="nil"/>
          <w:between w:val="nil"/>
        </w:pBdr>
        <w:bidi/>
        <w:spacing w:after="150"/>
        <w:jc w:val="both"/>
        <w:rPr>
          <w:rFonts w:ascii="Tahoma" w:eastAsia="Tahoma" w:hAnsi="Tahoma" w:cs="Tahoma"/>
          <w:b/>
          <w:color w:val="000000"/>
          <w:sz w:val="24"/>
          <w:szCs w:val="24"/>
        </w:rPr>
      </w:pPr>
      <w:r>
        <w:rPr>
          <w:rFonts w:ascii="Tahoma" w:eastAsia="Tahoma" w:hAnsi="Tahoma" w:cs="Tahoma"/>
          <w:color w:val="000000"/>
          <w:sz w:val="24"/>
          <w:szCs w:val="24"/>
          <w:rtl/>
        </w:rPr>
        <w:t>1- يثبت الموظف أن الانقطاع كان بعذر مقبول كالمرض أو السفر أو</w:t>
      </w:r>
      <w:r>
        <w:rPr>
          <w:rFonts w:ascii="Tahoma" w:eastAsia="Tahoma" w:hAnsi="Tahoma" w:cs="Tahoma"/>
          <w:color w:val="000000"/>
          <w:sz w:val="24"/>
          <w:szCs w:val="24"/>
          <w:rtl/>
        </w:rPr>
        <w:t xml:space="preserve"> غير ذلك. </w:t>
      </w:r>
    </w:p>
    <w:p w14:paraId="0000003E" w14:textId="77777777" w:rsidR="00D469DE" w:rsidRDefault="007B19A3">
      <w:pPr>
        <w:pBdr>
          <w:top w:val="nil"/>
          <w:left w:val="nil"/>
          <w:bottom w:val="nil"/>
          <w:right w:val="nil"/>
          <w:between w:val="nil"/>
        </w:pBdr>
        <w:bidi/>
        <w:spacing w:after="150"/>
        <w:jc w:val="both"/>
        <w:rPr>
          <w:rFonts w:ascii="Tahoma" w:eastAsia="Tahoma" w:hAnsi="Tahoma" w:cs="Tahoma"/>
          <w:color w:val="000000"/>
          <w:sz w:val="24"/>
          <w:szCs w:val="24"/>
        </w:rPr>
      </w:pPr>
      <w:r>
        <w:rPr>
          <w:rFonts w:ascii="Tahoma" w:eastAsia="Tahoma" w:hAnsi="Tahoma" w:cs="Tahoma"/>
          <w:color w:val="000000"/>
          <w:sz w:val="24"/>
          <w:szCs w:val="24"/>
          <w:rtl/>
        </w:rPr>
        <w:t>2- وأن يتقدم الموظف إلى جهة عمله بذلك العذر</w:t>
      </w:r>
    </w:p>
    <w:p w14:paraId="0000003F" w14:textId="77777777" w:rsidR="00D469DE" w:rsidRDefault="007B19A3">
      <w:pPr>
        <w:numPr>
          <w:ilvl w:val="0"/>
          <w:numId w:val="2"/>
        </w:numPr>
        <w:pBdr>
          <w:top w:val="nil"/>
          <w:left w:val="nil"/>
          <w:bottom w:val="nil"/>
          <w:right w:val="nil"/>
          <w:between w:val="nil"/>
        </w:pBdr>
        <w:bidi/>
        <w:spacing w:after="150"/>
        <w:jc w:val="both"/>
        <w:rPr>
          <w:rFonts w:ascii="Tahoma" w:eastAsia="Tahoma" w:hAnsi="Tahoma" w:cs="Tahoma"/>
          <w:b/>
          <w:color w:val="000000"/>
          <w:sz w:val="24"/>
          <w:szCs w:val="24"/>
        </w:rPr>
      </w:pPr>
      <w:r>
        <w:rPr>
          <w:rFonts w:ascii="Tahoma" w:eastAsia="Tahoma" w:hAnsi="Tahoma" w:cs="Tahoma"/>
          <w:color w:val="000000"/>
          <w:sz w:val="24"/>
          <w:szCs w:val="24"/>
          <w:rtl/>
        </w:rPr>
        <w:t xml:space="preserve">وأن يكون ذلك خلال أجل أقصاه 15 يوم التالية للانقطاع عن العمل. فإذا تجاوزها فيصير قرار إنهاء </w:t>
      </w:r>
      <w:r>
        <w:rPr>
          <w:rFonts w:ascii="Tahoma" w:eastAsia="Tahoma" w:hAnsi="Tahoma" w:cs="Tahoma"/>
          <w:color w:val="000000"/>
          <w:sz w:val="24"/>
          <w:szCs w:val="24"/>
          <w:rtl/>
        </w:rPr>
        <w:lastRenderedPageBreak/>
        <w:t>الخدمة واجب النفاذ.</w:t>
      </w:r>
    </w:p>
    <w:p w14:paraId="00000040" w14:textId="77777777" w:rsidR="00D469DE" w:rsidRDefault="007B19A3">
      <w:pPr>
        <w:pBdr>
          <w:top w:val="nil"/>
          <w:left w:val="nil"/>
          <w:bottom w:val="nil"/>
          <w:right w:val="nil"/>
          <w:between w:val="nil"/>
        </w:pBdr>
        <w:bidi/>
        <w:spacing w:after="150"/>
        <w:ind w:left="156"/>
        <w:jc w:val="both"/>
        <w:rPr>
          <w:rFonts w:ascii="Tahoma" w:eastAsia="Tahoma" w:hAnsi="Tahoma" w:cs="Tahoma"/>
          <w:color w:val="000000"/>
          <w:sz w:val="24"/>
          <w:szCs w:val="24"/>
        </w:rPr>
      </w:pPr>
      <w:r>
        <w:rPr>
          <w:rFonts w:ascii="Tahoma" w:eastAsia="Tahoma" w:hAnsi="Tahoma" w:cs="Tahoma"/>
          <w:b/>
          <w:color w:val="000000"/>
          <w:sz w:val="24"/>
          <w:szCs w:val="24"/>
          <w:rtl/>
        </w:rPr>
        <w:t xml:space="preserve">وفوضت المادة 69 من قانون الخدمة المدنية اللائحة التنفيذية إجراءات وقواعد إنهاء الخدمة </w:t>
      </w:r>
      <w:r>
        <w:rPr>
          <w:rFonts w:ascii="Tahoma" w:eastAsia="Tahoma" w:hAnsi="Tahoma" w:cs="Tahoma"/>
          <w:color w:val="000000"/>
          <w:sz w:val="24"/>
          <w:szCs w:val="24"/>
          <w:rtl/>
        </w:rPr>
        <w:br/>
        <w:t xml:space="preserve">- </w:t>
      </w:r>
      <w:r>
        <w:rPr>
          <w:rFonts w:ascii="Tahoma" w:eastAsia="Tahoma" w:hAnsi="Tahoma" w:cs="Tahoma"/>
          <w:color w:val="000000"/>
          <w:sz w:val="24"/>
          <w:szCs w:val="24"/>
          <w:rtl/>
        </w:rPr>
        <w:t>ويحق لجهة العمل إنهاء الخدمة حتى ولو كان تم مجازاة الموظف تأديبيا</w:t>
      </w:r>
      <w:r>
        <w:rPr>
          <w:rFonts w:ascii="Tahoma" w:eastAsia="Tahoma" w:hAnsi="Tahoma" w:cs="Tahoma"/>
          <w:color w:val="000000"/>
          <w:sz w:val="24"/>
          <w:szCs w:val="24"/>
          <w:rtl/>
        </w:rPr>
        <w:br/>
        <w:t>- ويعتبر تاريخ الإنهاء في حالة الانقطاع الغير متصل من اليوم التالي لاكتمال انقطاعه غير المتصل , ومن تاريخ انقطاع المتصل عن العمل كما جاء بنص المادة 176 من اللائحة.</w:t>
      </w:r>
    </w:p>
    <w:p w14:paraId="00000041" w14:textId="77777777" w:rsidR="00D469DE" w:rsidRDefault="007B19A3">
      <w:pPr>
        <w:pBdr>
          <w:top w:val="nil"/>
          <w:left w:val="nil"/>
          <w:bottom w:val="nil"/>
          <w:right w:val="nil"/>
          <w:between w:val="nil"/>
        </w:pBdr>
        <w:bidi/>
        <w:spacing w:after="150"/>
        <w:jc w:val="both"/>
        <w:rPr>
          <w:rFonts w:ascii="Tahoma" w:eastAsia="Tahoma" w:hAnsi="Tahoma" w:cs="Tahoma"/>
          <w:b/>
          <w:color w:val="000000"/>
          <w:sz w:val="24"/>
          <w:szCs w:val="24"/>
        </w:rPr>
      </w:pPr>
      <w:r>
        <w:rPr>
          <w:rFonts w:ascii="Tahoma" w:eastAsia="Tahoma" w:hAnsi="Tahoma" w:cs="Tahoma"/>
          <w:b/>
          <w:color w:val="000000"/>
          <w:sz w:val="24"/>
          <w:szCs w:val="24"/>
          <w:rtl/>
        </w:rPr>
        <w:t>الفصل بالمخالفة لنص الدستو</w:t>
      </w:r>
      <w:r>
        <w:rPr>
          <w:rFonts w:ascii="Tahoma" w:eastAsia="Tahoma" w:hAnsi="Tahoma" w:cs="Tahoma"/>
          <w:b/>
          <w:color w:val="000000"/>
          <w:sz w:val="24"/>
          <w:szCs w:val="24"/>
          <w:rtl/>
        </w:rPr>
        <w:t>ر</w:t>
      </w:r>
    </w:p>
    <w:p w14:paraId="00000042" w14:textId="77777777" w:rsidR="00D469DE" w:rsidRDefault="007B19A3">
      <w:pPr>
        <w:pBdr>
          <w:top w:val="nil"/>
          <w:left w:val="nil"/>
          <w:bottom w:val="nil"/>
          <w:right w:val="nil"/>
          <w:between w:val="nil"/>
        </w:pBdr>
        <w:bidi/>
        <w:spacing w:after="150"/>
        <w:jc w:val="both"/>
        <w:rPr>
          <w:rFonts w:ascii="Tahoma" w:eastAsia="Tahoma" w:hAnsi="Tahoma" w:cs="Tahoma"/>
          <w:b/>
          <w:color w:val="000000"/>
          <w:sz w:val="24"/>
          <w:szCs w:val="24"/>
        </w:rPr>
      </w:pPr>
      <w:r>
        <w:rPr>
          <w:rFonts w:ascii="Tahoma" w:eastAsia="Tahoma" w:hAnsi="Tahoma" w:cs="Tahoma"/>
          <w:color w:val="000000"/>
          <w:sz w:val="24"/>
          <w:szCs w:val="24"/>
          <w:rtl/>
        </w:rPr>
        <w:t>وترك المشرع الأعذار المبررة للانقطاع عن العمل دون تحديد ماهيتها، فأوردها فى عبارة عامة مطلقة، لتحكمها القواعد العامة، ليبقى قبول السلطة المختصة لها من عدمه، ونحن هنا بصدد مخالفه للمادة  14 من الدستور المصرى التى نصت صراحا على  (</w:t>
      </w:r>
      <w:r>
        <w:rPr>
          <w:rFonts w:ascii="Tahoma" w:eastAsia="Tahoma" w:hAnsi="Tahoma" w:cs="Tahoma"/>
          <w:b/>
          <w:color w:val="000000"/>
          <w:sz w:val="24"/>
          <w:szCs w:val="24"/>
          <w:rtl/>
        </w:rPr>
        <w:t xml:space="preserve">لا يجوز فصل الموظفين بغير </w:t>
      </w:r>
      <w:r>
        <w:rPr>
          <w:rFonts w:ascii="Tahoma" w:eastAsia="Tahoma" w:hAnsi="Tahoma" w:cs="Tahoma"/>
          <w:b/>
          <w:color w:val="000000"/>
          <w:sz w:val="24"/>
          <w:szCs w:val="24"/>
          <w:rtl/>
        </w:rPr>
        <w:t>الطريق التأديبى</w:t>
      </w:r>
      <w:r>
        <w:rPr>
          <w:rFonts w:ascii="Tahoma" w:eastAsia="Tahoma" w:hAnsi="Tahoma" w:cs="Tahoma"/>
          <w:color w:val="000000"/>
          <w:sz w:val="24"/>
          <w:szCs w:val="24"/>
        </w:rPr>
        <w:t xml:space="preserve"> )</w:t>
      </w:r>
    </w:p>
    <w:p w14:paraId="00000043" w14:textId="77777777" w:rsidR="00D469DE" w:rsidRDefault="007B19A3">
      <w:pPr>
        <w:pBdr>
          <w:top w:val="nil"/>
          <w:left w:val="nil"/>
          <w:bottom w:val="nil"/>
          <w:right w:val="nil"/>
          <w:between w:val="nil"/>
        </w:pBdr>
        <w:bidi/>
        <w:spacing w:after="150"/>
        <w:jc w:val="both"/>
        <w:rPr>
          <w:rFonts w:ascii="Tahoma" w:eastAsia="Tahoma" w:hAnsi="Tahoma" w:cs="Tahoma"/>
          <w:color w:val="000000"/>
          <w:sz w:val="24"/>
          <w:szCs w:val="24"/>
        </w:rPr>
      </w:pPr>
      <w:r>
        <w:rPr>
          <w:rFonts w:ascii="Tahoma" w:eastAsia="Tahoma" w:hAnsi="Tahoma" w:cs="Tahoma"/>
          <w:color w:val="000000"/>
          <w:sz w:val="24"/>
          <w:szCs w:val="24"/>
          <w:rtl/>
        </w:rPr>
        <w:t>اى ان القانون اوجب  فصل الموظف بدون الاحتكام واللجوء الى الطرق التأديبيه التى وردت بالمادة 14 من الدستور المصرى ومنها  :</w:t>
      </w:r>
    </w:p>
    <w:p w14:paraId="00000044" w14:textId="77777777" w:rsidR="00D469DE" w:rsidRDefault="007B19A3">
      <w:pPr>
        <w:numPr>
          <w:ilvl w:val="0"/>
          <w:numId w:val="1"/>
        </w:numPr>
        <w:pBdr>
          <w:top w:val="nil"/>
          <w:left w:val="nil"/>
          <w:bottom w:val="nil"/>
          <w:right w:val="nil"/>
          <w:between w:val="nil"/>
        </w:pBdr>
        <w:bidi/>
        <w:spacing w:after="150"/>
        <w:jc w:val="both"/>
        <w:rPr>
          <w:rFonts w:ascii="Tahoma" w:eastAsia="Tahoma" w:hAnsi="Tahoma" w:cs="Tahoma"/>
          <w:color w:val="000000"/>
          <w:sz w:val="24"/>
          <w:szCs w:val="24"/>
        </w:rPr>
      </w:pPr>
      <w:r>
        <w:rPr>
          <w:rFonts w:ascii="Tahoma" w:eastAsia="Tahoma" w:hAnsi="Tahoma" w:cs="Tahoma"/>
          <w:color w:val="000000"/>
          <w:sz w:val="24"/>
          <w:szCs w:val="24"/>
          <w:rtl/>
        </w:rPr>
        <w:t xml:space="preserve">توجيه اللوم </w:t>
      </w:r>
    </w:p>
    <w:p w14:paraId="00000045" w14:textId="77777777" w:rsidR="00D469DE" w:rsidRDefault="007B19A3">
      <w:pPr>
        <w:numPr>
          <w:ilvl w:val="0"/>
          <w:numId w:val="1"/>
        </w:numPr>
        <w:pBdr>
          <w:top w:val="nil"/>
          <w:left w:val="nil"/>
          <w:bottom w:val="nil"/>
          <w:right w:val="nil"/>
          <w:between w:val="nil"/>
        </w:pBdr>
        <w:bidi/>
        <w:spacing w:after="150"/>
        <w:jc w:val="both"/>
        <w:rPr>
          <w:rFonts w:ascii="Tahoma" w:eastAsia="Tahoma" w:hAnsi="Tahoma" w:cs="Tahoma"/>
          <w:color w:val="000000"/>
          <w:sz w:val="24"/>
          <w:szCs w:val="24"/>
        </w:rPr>
      </w:pPr>
      <w:r>
        <w:rPr>
          <w:rFonts w:ascii="Tahoma" w:eastAsia="Tahoma" w:hAnsi="Tahoma" w:cs="Tahoma"/>
          <w:color w:val="000000"/>
          <w:sz w:val="24"/>
          <w:szCs w:val="24"/>
          <w:rtl/>
        </w:rPr>
        <w:t xml:space="preserve">لفت النظر </w:t>
      </w:r>
    </w:p>
    <w:p w14:paraId="00000046" w14:textId="77777777" w:rsidR="00D469DE" w:rsidRDefault="007B19A3">
      <w:pPr>
        <w:numPr>
          <w:ilvl w:val="0"/>
          <w:numId w:val="1"/>
        </w:numPr>
        <w:pBdr>
          <w:top w:val="nil"/>
          <w:left w:val="nil"/>
          <w:bottom w:val="nil"/>
          <w:right w:val="nil"/>
          <w:between w:val="nil"/>
        </w:pBdr>
        <w:bidi/>
        <w:spacing w:after="150"/>
        <w:jc w:val="both"/>
        <w:rPr>
          <w:rFonts w:ascii="Tahoma" w:eastAsia="Tahoma" w:hAnsi="Tahoma" w:cs="Tahoma"/>
          <w:color w:val="000000"/>
          <w:sz w:val="24"/>
          <w:szCs w:val="24"/>
        </w:rPr>
      </w:pPr>
      <w:r>
        <w:rPr>
          <w:rFonts w:ascii="Tahoma" w:eastAsia="Tahoma" w:hAnsi="Tahoma" w:cs="Tahoma"/>
          <w:color w:val="000000"/>
          <w:sz w:val="24"/>
          <w:szCs w:val="24"/>
          <w:rtl/>
        </w:rPr>
        <w:t xml:space="preserve">انذار </w:t>
      </w:r>
    </w:p>
    <w:p w14:paraId="00000047" w14:textId="77777777" w:rsidR="00D469DE" w:rsidRDefault="007B19A3">
      <w:pPr>
        <w:numPr>
          <w:ilvl w:val="0"/>
          <w:numId w:val="1"/>
        </w:numPr>
        <w:pBdr>
          <w:top w:val="nil"/>
          <w:left w:val="nil"/>
          <w:bottom w:val="nil"/>
          <w:right w:val="nil"/>
          <w:between w:val="nil"/>
        </w:pBdr>
        <w:bidi/>
        <w:spacing w:after="150"/>
        <w:jc w:val="both"/>
        <w:rPr>
          <w:rFonts w:ascii="Tahoma" w:eastAsia="Tahoma" w:hAnsi="Tahoma" w:cs="Tahoma"/>
          <w:color w:val="000000"/>
          <w:sz w:val="24"/>
          <w:szCs w:val="24"/>
        </w:rPr>
      </w:pPr>
      <w:r>
        <w:rPr>
          <w:rFonts w:ascii="Tahoma" w:eastAsia="Tahoma" w:hAnsi="Tahoma" w:cs="Tahoma"/>
          <w:color w:val="000000"/>
          <w:sz w:val="24"/>
          <w:szCs w:val="24"/>
          <w:rtl/>
        </w:rPr>
        <w:t>اجراء تحقيق ادارى  معه سواء من قبل الشئون القانونيه او من قبل النيابه الاداريه كما ورد</w:t>
      </w:r>
      <w:r>
        <w:rPr>
          <w:rFonts w:ascii="Tahoma" w:eastAsia="Tahoma" w:hAnsi="Tahoma" w:cs="Tahoma"/>
          <w:color w:val="000000"/>
          <w:sz w:val="24"/>
          <w:szCs w:val="24"/>
          <w:rtl/>
        </w:rPr>
        <w:t xml:space="preserve"> بالقانون رقم 47  لسنه 1978 قانون العاملين بالخدمة المدنيه الملغى.</w:t>
      </w:r>
    </w:p>
    <w:p w14:paraId="00000048" w14:textId="77777777" w:rsidR="00D469DE" w:rsidRDefault="007B19A3">
      <w:pPr>
        <w:pBdr>
          <w:top w:val="nil"/>
          <w:left w:val="nil"/>
          <w:bottom w:val="nil"/>
          <w:right w:val="nil"/>
          <w:between w:val="nil"/>
        </w:pBdr>
        <w:bidi/>
        <w:spacing w:after="150"/>
        <w:jc w:val="both"/>
        <w:rPr>
          <w:rFonts w:ascii="Tahoma" w:eastAsia="Tahoma" w:hAnsi="Tahoma" w:cs="Tahoma"/>
          <w:color w:val="000000"/>
          <w:sz w:val="24"/>
          <w:szCs w:val="24"/>
        </w:rPr>
      </w:pPr>
      <w:r>
        <w:rPr>
          <w:rFonts w:ascii="Tahoma" w:eastAsia="Tahoma" w:hAnsi="Tahoma" w:cs="Tahoma"/>
          <w:color w:val="000000"/>
          <w:sz w:val="24"/>
          <w:szCs w:val="24"/>
          <w:rtl/>
        </w:rPr>
        <w:t>وكان من المفترض عندما يأتى قانون ليحل محل الاخر يكون اكثر عدلا وانصافا من حيث الضمانات ليبقى عليها او يعدلها للافضل ويمنح مزيد من الضمانات ولا يجوز ان ينتقص منها ولا يجوز ان يخالف نصوص الدس</w:t>
      </w:r>
      <w:r>
        <w:rPr>
          <w:rFonts w:ascii="Tahoma" w:eastAsia="Tahoma" w:hAnsi="Tahoma" w:cs="Tahoma"/>
          <w:color w:val="000000"/>
          <w:sz w:val="24"/>
          <w:szCs w:val="24"/>
          <w:rtl/>
        </w:rPr>
        <w:t xml:space="preserve">تور بل الانكى من كل ذلك ان القانون فى لائحته التنفيذيه اقر فصل الموظف  المنقطع عن العمل ولم يقدم عذر  ( ولو عوقب تأديبيا ) ؟! </w:t>
      </w:r>
    </w:p>
    <w:p w14:paraId="00000049" w14:textId="77777777" w:rsidR="00D469DE" w:rsidRDefault="007B19A3">
      <w:pPr>
        <w:pBdr>
          <w:top w:val="nil"/>
          <w:left w:val="nil"/>
          <w:bottom w:val="nil"/>
          <w:right w:val="nil"/>
          <w:between w:val="nil"/>
        </w:pBdr>
        <w:bidi/>
        <w:spacing w:after="150"/>
        <w:jc w:val="both"/>
        <w:rPr>
          <w:rFonts w:ascii="Tahoma" w:eastAsia="Tahoma" w:hAnsi="Tahoma" w:cs="Tahoma"/>
          <w:b/>
          <w:color w:val="000000"/>
          <w:sz w:val="24"/>
          <w:szCs w:val="24"/>
        </w:rPr>
      </w:pPr>
      <w:r>
        <w:rPr>
          <w:rFonts w:ascii="Tahoma" w:eastAsia="Tahoma" w:hAnsi="Tahoma" w:cs="Tahoma"/>
          <w:color w:val="000000"/>
          <w:sz w:val="24"/>
          <w:szCs w:val="24"/>
          <w:rtl/>
        </w:rPr>
        <w:t xml:space="preserve"> اين ضمانات الموظف فى ظل هذا القانون الذي يهدر الامان الوظيفى ، الذى يمنح جهه الادارة المختصه وحدها قبول العذر من عدمة فى حاله </w:t>
      </w:r>
      <w:r>
        <w:rPr>
          <w:rFonts w:ascii="Tahoma" w:eastAsia="Tahoma" w:hAnsi="Tahoma" w:cs="Tahoma"/>
          <w:color w:val="000000"/>
          <w:sz w:val="24"/>
          <w:szCs w:val="24"/>
          <w:rtl/>
        </w:rPr>
        <w:t xml:space="preserve">انقطاع الموظف لاى ظرف خارج عن ارادته وهو قانون غير دستورى وفقا لنص المادة 14 من الدستور المصرى : </w:t>
      </w:r>
    </w:p>
    <w:p w14:paraId="0000004A" w14:textId="77777777" w:rsidR="00D469DE" w:rsidRDefault="007B19A3">
      <w:pPr>
        <w:pBdr>
          <w:top w:val="nil"/>
          <w:left w:val="nil"/>
          <w:bottom w:val="nil"/>
          <w:right w:val="nil"/>
          <w:between w:val="nil"/>
        </w:pBdr>
        <w:bidi/>
        <w:spacing w:after="150"/>
        <w:jc w:val="both"/>
        <w:rPr>
          <w:rFonts w:ascii="Tahoma" w:eastAsia="Tahoma" w:hAnsi="Tahoma" w:cs="Tahoma"/>
          <w:color w:val="000000"/>
          <w:sz w:val="24"/>
          <w:szCs w:val="24"/>
        </w:rPr>
      </w:pPr>
      <w:r>
        <w:rPr>
          <w:rFonts w:ascii="Tahoma" w:eastAsia="Tahoma" w:hAnsi="Tahoma" w:cs="Tahoma"/>
          <w:color w:val="000000"/>
          <w:sz w:val="24"/>
          <w:szCs w:val="24"/>
        </w:rPr>
        <w:t>"</w:t>
      </w:r>
      <w:r>
        <w:rPr>
          <w:rFonts w:ascii="Tahoma" w:eastAsia="Tahoma" w:hAnsi="Tahoma" w:cs="Tahoma"/>
          <w:color w:val="000000"/>
          <w:sz w:val="24"/>
          <w:szCs w:val="24"/>
          <w:rtl/>
        </w:rPr>
        <w:t>،،،،،،،،،،</w:t>
      </w:r>
      <w:r>
        <w:rPr>
          <w:rFonts w:ascii="Tahoma" w:eastAsia="Tahoma" w:hAnsi="Tahoma" w:cs="Tahoma"/>
          <w:b/>
          <w:color w:val="000000"/>
          <w:sz w:val="24"/>
          <w:szCs w:val="24"/>
          <w:rtl/>
        </w:rPr>
        <w:t xml:space="preserve"> ولا يجوز فصلهم بغير الطريق التأديبى</w:t>
      </w:r>
      <w:r>
        <w:rPr>
          <w:rFonts w:ascii="Tahoma" w:eastAsia="Tahoma" w:hAnsi="Tahoma" w:cs="Tahoma"/>
          <w:color w:val="000000"/>
          <w:sz w:val="24"/>
          <w:szCs w:val="24"/>
          <w:rtl/>
        </w:rPr>
        <w:t>، إلا فى الأحوال التي يحددها القانون".</w:t>
      </w:r>
    </w:p>
    <w:p w14:paraId="0000004B" w14:textId="77777777" w:rsidR="00D469DE" w:rsidRDefault="007B19A3">
      <w:pPr>
        <w:numPr>
          <w:ilvl w:val="0"/>
          <w:numId w:val="3"/>
        </w:numPr>
        <w:pBdr>
          <w:top w:val="nil"/>
          <w:left w:val="nil"/>
          <w:bottom w:val="nil"/>
          <w:right w:val="nil"/>
          <w:between w:val="nil"/>
        </w:pBdr>
        <w:bidi/>
        <w:spacing w:before="220" w:line="240" w:lineRule="auto"/>
        <w:ind w:right="-360"/>
        <w:jc w:val="both"/>
        <w:rPr>
          <w:rFonts w:ascii="Tahoma" w:eastAsia="Tahoma" w:hAnsi="Tahoma" w:cs="Tahoma"/>
          <w:b/>
          <w:color w:val="000000"/>
          <w:sz w:val="24"/>
          <w:szCs w:val="24"/>
        </w:rPr>
      </w:pPr>
      <w:r>
        <w:rPr>
          <w:rFonts w:ascii="Tahoma" w:eastAsia="Tahoma" w:hAnsi="Tahoma" w:cs="Tahoma"/>
          <w:b/>
          <w:color w:val="000000"/>
          <w:sz w:val="24"/>
          <w:szCs w:val="24"/>
          <w:rtl/>
        </w:rPr>
        <w:t xml:space="preserve"> الإعلان العالمي لحقوق الإنسان:</w:t>
      </w:r>
    </w:p>
    <w:p w14:paraId="0000004C" w14:textId="77777777" w:rsidR="00D469DE" w:rsidRDefault="007B19A3">
      <w:pPr>
        <w:bidi/>
        <w:spacing w:before="220" w:line="240" w:lineRule="auto"/>
        <w:ind w:left="-360" w:right="-360"/>
        <w:jc w:val="both"/>
        <w:rPr>
          <w:rFonts w:ascii="Tahoma" w:eastAsia="Tahoma" w:hAnsi="Tahoma" w:cs="Tahoma"/>
          <w:sz w:val="24"/>
          <w:szCs w:val="24"/>
        </w:rPr>
      </w:pPr>
      <w:r>
        <w:rPr>
          <w:rFonts w:ascii="Tahoma" w:eastAsia="Tahoma" w:hAnsi="Tahoma" w:cs="Tahoma"/>
          <w:sz w:val="24"/>
          <w:szCs w:val="24"/>
          <w:rtl/>
        </w:rPr>
        <w:t>نصت المادة 23 / 1 من الإعلان العالمى لحق</w:t>
      </w:r>
      <w:r>
        <w:rPr>
          <w:rFonts w:ascii="Tahoma" w:eastAsia="Tahoma" w:hAnsi="Tahoma" w:cs="Tahoma"/>
          <w:sz w:val="24"/>
          <w:szCs w:val="24"/>
          <w:rtl/>
        </w:rPr>
        <w:t>وق الإنسان على أنه :</w:t>
      </w:r>
    </w:p>
    <w:p w14:paraId="0000004D" w14:textId="77777777" w:rsidR="00D469DE" w:rsidRDefault="007B19A3">
      <w:pPr>
        <w:bidi/>
        <w:spacing w:before="220" w:line="240" w:lineRule="auto"/>
        <w:ind w:left="-360" w:right="-360"/>
        <w:jc w:val="both"/>
        <w:rPr>
          <w:rFonts w:ascii="Tahoma" w:eastAsia="Tahoma" w:hAnsi="Tahoma" w:cs="Tahoma"/>
          <w:sz w:val="24"/>
          <w:szCs w:val="24"/>
        </w:rPr>
      </w:pPr>
      <w:r>
        <w:rPr>
          <w:rFonts w:ascii="Tahoma" w:eastAsia="Tahoma" w:hAnsi="Tahoma" w:cs="Tahoma"/>
          <w:sz w:val="24"/>
          <w:szCs w:val="24"/>
          <w:rtl/>
        </w:rPr>
        <w:t>(1) لكل شخص حق العمل، وفى حرية اختيار عمله، وفي</w:t>
      </w:r>
      <w:r>
        <w:rPr>
          <w:rFonts w:ascii="Tahoma" w:eastAsia="Tahoma" w:hAnsi="Tahoma" w:cs="Tahoma"/>
          <w:b/>
          <w:sz w:val="24"/>
          <w:szCs w:val="24"/>
          <w:rtl/>
        </w:rPr>
        <w:t xml:space="preserve"> شروط عمل عادلة ومرضية</w:t>
      </w:r>
      <w:r>
        <w:rPr>
          <w:rFonts w:ascii="Tahoma" w:eastAsia="Tahoma" w:hAnsi="Tahoma" w:cs="Tahoma"/>
          <w:sz w:val="24"/>
          <w:szCs w:val="24"/>
          <w:rtl/>
        </w:rPr>
        <w:t>، وفي الحماية من البطالة.</w:t>
      </w:r>
    </w:p>
    <w:p w14:paraId="0000004E" w14:textId="77777777" w:rsidR="00D469DE" w:rsidRDefault="007B19A3">
      <w:pPr>
        <w:bidi/>
        <w:spacing w:before="220" w:line="240" w:lineRule="auto"/>
        <w:ind w:left="-360" w:right="-360"/>
        <w:jc w:val="both"/>
        <w:rPr>
          <w:rFonts w:ascii="Tahoma" w:eastAsia="Tahoma" w:hAnsi="Tahoma" w:cs="Tahoma"/>
          <w:sz w:val="24"/>
          <w:szCs w:val="24"/>
        </w:rPr>
      </w:pPr>
      <w:r>
        <w:rPr>
          <w:rFonts w:ascii="Tahoma" w:eastAsia="Tahoma" w:hAnsi="Tahoma" w:cs="Tahoma"/>
          <w:sz w:val="24"/>
          <w:szCs w:val="24"/>
          <w:rtl/>
        </w:rPr>
        <w:t xml:space="preserve">حيث نص البند السابق على حق العمل واورد ان يكون العمل فى شروط عادلة ومرضيه تحميه من الفصل التعسفى </w:t>
      </w:r>
    </w:p>
    <w:p w14:paraId="0000004F" w14:textId="77777777" w:rsidR="00D469DE" w:rsidRDefault="007B19A3">
      <w:pPr>
        <w:bidi/>
        <w:spacing w:before="220" w:line="240" w:lineRule="auto"/>
        <w:ind w:left="-360" w:right="-360"/>
        <w:jc w:val="both"/>
        <w:rPr>
          <w:rFonts w:ascii="Tahoma" w:eastAsia="Tahoma" w:hAnsi="Tahoma" w:cs="Tahoma"/>
          <w:b/>
          <w:sz w:val="24"/>
          <w:szCs w:val="24"/>
        </w:rPr>
      </w:pPr>
      <w:r>
        <w:rPr>
          <w:rFonts w:ascii="Tahoma" w:eastAsia="Tahoma" w:hAnsi="Tahoma" w:cs="Tahoma"/>
          <w:sz w:val="24"/>
          <w:szCs w:val="24"/>
          <w:rtl/>
        </w:rPr>
        <w:lastRenderedPageBreak/>
        <w:t xml:space="preserve">بعكس القانون رقم 81 لسنه 2016 الذى  يعطى </w:t>
      </w:r>
      <w:r>
        <w:rPr>
          <w:rFonts w:ascii="Tahoma" w:eastAsia="Tahoma" w:hAnsi="Tahoma" w:cs="Tahoma"/>
          <w:sz w:val="24"/>
          <w:szCs w:val="24"/>
          <w:rtl/>
        </w:rPr>
        <w:t xml:space="preserve">الحق لجهه العمل فصل الموظف دون سابق انذار وهى تعد شروط غير عادله </w:t>
      </w:r>
    </w:p>
    <w:p w14:paraId="00000050" w14:textId="77777777" w:rsidR="00D469DE" w:rsidRDefault="007B19A3">
      <w:pPr>
        <w:numPr>
          <w:ilvl w:val="0"/>
          <w:numId w:val="3"/>
        </w:numPr>
        <w:pBdr>
          <w:top w:val="nil"/>
          <w:left w:val="nil"/>
          <w:bottom w:val="nil"/>
          <w:right w:val="nil"/>
          <w:between w:val="nil"/>
        </w:pBdr>
        <w:bidi/>
        <w:spacing w:before="220" w:line="240" w:lineRule="auto"/>
        <w:ind w:right="-360"/>
        <w:jc w:val="both"/>
        <w:rPr>
          <w:rFonts w:ascii="Tahoma" w:eastAsia="Tahoma" w:hAnsi="Tahoma" w:cs="Tahoma"/>
          <w:b/>
          <w:color w:val="000000"/>
          <w:sz w:val="24"/>
          <w:szCs w:val="24"/>
        </w:rPr>
      </w:pPr>
      <w:r>
        <w:rPr>
          <w:rFonts w:ascii="Tahoma" w:eastAsia="Tahoma" w:hAnsi="Tahoma" w:cs="Tahoma"/>
          <w:b/>
          <w:color w:val="000000"/>
          <w:sz w:val="24"/>
          <w:szCs w:val="24"/>
          <w:rtl/>
        </w:rPr>
        <w:t xml:space="preserve"> العهد الدولي للحقوق الاقتصادية والاجتماعية</w:t>
      </w:r>
    </w:p>
    <w:p w14:paraId="00000051" w14:textId="77777777" w:rsidR="00D469DE" w:rsidRDefault="007B19A3">
      <w:pPr>
        <w:bidi/>
        <w:spacing w:before="220" w:line="240" w:lineRule="auto"/>
        <w:ind w:left="-360" w:right="-360"/>
        <w:jc w:val="both"/>
        <w:rPr>
          <w:rFonts w:ascii="Tahoma" w:eastAsia="Tahoma" w:hAnsi="Tahoma" w:cs="Tahoma"/>
          <w:b/>
          <w:sz w:val="24"/>
          <w:szCs w:val="24"/>
        </w:rPr>
      </w:pPr>
      <w:r>
        <w:rPr>
          <w:rFonts w:ascii="Tahoma" w:eastAsia="Tahoma" w:hAnsi="Tahoma" w:cs="Tahoma"/>
          <w:b/>
          <w:sz w:val="24"/>
          <w:szCs w:val="24"/>
          <w:rtl/>
        </w:rPr>
        <w:t>نصت المادة رقم 6 على انه :</w:t>
      </w:r>
    </w:p>
    <w:p w14:paraId="00000052" w14:textId="77777777" w:rsidR="00D469DE" w:rsidRDefault="007B19A3">
      <w:pPr>
        <w:bidi/>
        <w:spacing w:before="220" w:line="240" w:lineRule="auto"/>
        <w:ind w:left="-360" w:right="-360"/>
        <w:jc w:val="both"/>
        <w:rPr>
          <w:rFonts w:ascii="Tahoma" w:eastAsia="Tahoma" w:hAnsi="Tahoma" w:cs="Tahoma"/>
          <w:sz w:val="24"/>
          <w:szCs w:val="24"/>
        </w:rPr>
      </w:pPr>
      <w:r>
        <w:rPr>
          <w:rFonts w:ascii="Tahoma" w:eastAsia="Tahoma" w:hAnsi="Tahoma" w:cs="Tahoma"/>
          <w:sz w:val="24"/>
          <w:szCs w:val="24"/>
          <w:rtl/>
        </w:rPr>
        <w:t>"تعترف الدول الأطراف في هذا العهد بالحق في العمل، الذي يشمل ما لكل شخص من حق في أن تتاح له إمكانية كسب رزقه بعمل يختاره</w:t>
      </w:r>
      <w:r>
        <w:rPr>
          <w:rFonts w:ascii="Tahoma" w:eastAsia="Tahoma" w:hAnsi="Tahoma" w:cs="Tahoma"/>
          <w:sz w:val="24"/>
          <w:szCs w:val="24"/>
          <w:rtl/>
        </w:rPr>
        <w:t xml:space="preserve"> أو يقبله بحرية، </w:t>
      </w:r>
      <w:r>
        <w:rPr>
          <w:rFonts w:ascii="Tahoma" w:eastAsia="Tahoma" w:hAnsi="Tahoma" w:cs="Tahoma"/>
          <w:sz w:val="24"/>
          <w:szCs w:val="24"/>
          <w:u w:val="single"/>
          <w:rtl/>
        </w:rPr>
        <w:t>وتقوم باتخاذ تدابير مناسبة لصون هذا الحق</w:t>
      </w:r>
      <w:r>
        <w:rPr>
          <w:rFonts w:ascii="Tahoma" w:eastAsia="Tahoma" w:hAnsi="Tahoma" w:cs="Tahoma"/>
          <w:b/>
          <w:sz w:val="24"/>
          <w:szCs w:val="24"/>
        </w:rPr>
        <w:t>".</w:t>
      </w:r>
    </w:p>
    <w:p w14:paraId="00000053" w14:textId="77777777" w:rsidR="00D469DE" w:rsidRDefault="007B19A3">
      <w:pPr>
        <w:bidi/>
        <w:spacing w:before="220" w:line="240" w:lineRule="auto"/>
        <w:ind w:right="-360"/>
        <w:jc w:val="both"/>
        <w:rPr>
          <w:rFonts w:ascii="Tahoma" w:eastAsia="Tahoma" w:hAnsi="Tahoma" w:cs="Tahoma"/>
          <w:b/>
          <w:sz w:val="24"/>
          <w:szCs w:val="24"/>
        </w:rPr>
      </w:pPr>
      <w:r>
        <w:rPr>
          <w:rFonts w:ascii="Tahoma" w:eastAsia="Tahoma" w:hAnsi="Tahoma" w:cs="Tahoma"/>
          <w:b/>
          <w:sz w:val="24"/>
          <w:szCs w:val="24"/>
          <w:rtl/>
        </w:rPr>
        <w:t>وايضا مادته 7 على أنه :</w:t>
      </w:r>
    </w:p>
    <w:p w14:paraId="00000054" w14:textId="77777777" w:rsidR="00D469DE" w:rsidRDefault="007B19A3">
      <w:pPr>
        <w:bidi/>
        <w:spacing w:before="220" w:after="140" w:line="240" w:lineRule="auto"/>
        <w:ind w:left="-360" w:right="-360"/>
        <w:jc w:val="both"/>
        <w:rPr>
          <w:rFonts w:ascii="Tahoma" w:eastAsia="Tahoma" w:hAnsi="Tahoma" w:cs="Tahoma"/>
          <w:sz w:val="24"/>
          <w:szCs w:val="24"/>
        </w:rPr>
      </w:pPr>
      <w:r>
        <w:rPr>
          <w:rFonts w:ascii="Tahoma" w:eastAsia="Tahoma" w:hAnsi="Tahoma" w:cs="Tahoma"/>
          <w:sz w:val="24"/>
          <w:szCs w:val="24"/>
          <w:rtl/>
        </w:rPr>
        <w:t xml:space="preserve">"تعترف الدول الأطراف في هذا العهد بما لكل شخص من حق في التمتع </w:t>
      </w:r>
      <w:r>
        <w:rPr>
          <w:rFonts w:ascii="Tahoma" w:eastAsia="Tahoma" w:hAnsi="Tahoma" w:cs="Tahoma"/>
          <w:sz w:val="24"/>
          <w:szCs w:val="24"/>
          <w:u w:val="single"/>
          <w:rtl/>
        </w:rPr>
        <w:t>بشروط عمل عادلة ومرضية</w:t>
      </w:r>
      <w:r>
        <w:rPr>
          <w:rFonts w:ascii="Tahoma" w:eastAsia="Tahoma" w:hAnsi="Tahoma" w:cs="Tahoma"/>
          <w:sz w:val="24"/>
          <w:szCs w:val="24"/>
        </w:rPr>
        <w:t xml:space="preserve"> ……..."</w:t>
      </w:r>
    </w:p>
    <w:p w14:paraId="00000055" w14:textId="77777777" w:rsidR="00D469DE" w:rsidRDefault="00D469DE">
      <w:pPr>
        <w:bidi/>
        <w:spacing w:before="220" w:line="240" w:lineRule="auto"/>
        <w:ind w:left="-360" w:right="-360"/>
        <w:jc w:val="both"/>
        <w:rPr>
          <w:rFonts w:ascii="Tahoma" w:eastAsia="Tahoma" w:hAnsi="Tahoma" w:cs="Tahoma"/>
          <w:sz w:val="24"/>
          <w:szCs w:val="24"/>
        </w:rPr>
      </w:pPr>
    </w:p>
    <w:p w14:paraId="00000056" w14:textId="77777777" w:rsidR="00D469DE" w:rsidRDefault="007B19A3">
      <w:pPr>
        <w:bidi/>
        <w:spacing w:before="220" w:line="240" w:lineRule="auto"/>
        <w:ind w:left="-360" w:right="-360"/>
        <w:jc w:val="both"/>
        <w:rPr>
          <w:rFonts w:ascii="Tahoma" w:eastAsia="Tahoma" w:hAnsi="Tahoma" w:cs="Tahoma"/>
          <w:sz w:val="28"/>
          <w:szCs w:val="28"/>
        </w:rPr>
      </w:pPr>
      <w:r>
        <w:rPr>
          <w:rFonts w:ascii="Tahoma" w:eastAsia="Tahoma" w:hAnsi="Tahoma" w:cs="Tahoma"/>
          <w:sz w:val="28"/>
          <w:szCs w:val="28"/>
          <w:rtl/>
        </w:rPr>
        <w:t>خاتمة وتوصيات:</w:t>
      </w:r>
    </w:p>
    <w:p w14:paraId="00000057" w14:textId="77777777" w:rsidR="00D469DE" w:rsidRDefault="007B19A3">
      <w:pPr>
        <w:numPr>
          <w:ilvl w:val="0"/>
          <w:numId w:val="1"/>
        </w:numPr>
        <w:pBdr>
          <w:top w:val="nil"/>
          <w:left w:val="nil"/>
          <w:bottom w:val="nil"/>
          <w:right w:val="nil"/>
          <w:between w:val="nil"/>
        </w:pBdr>
        <w:bidi/>
        <w:spacing w:before="220" w:line="240" w:lineRule="auto"/>
        <w:ind w:right="-360"/>
        <w:jc w:val="both"/>
        <w:rPr>
          <w:rFonts w:ascii="Tahoma" w:eastAsia="Tahoma" w:hAnsi="Tahoma" w:cs="Tahoma"/>
          <w:color w:val="000000"/>
          <w:sz w:val="24"/>
          <w:szCs w:val="24"/>
        </w:rPr>
      </w:pPr>
      <w:r>
        <w:rPr>
          <w:rFonts w:ascii="Tahoma" w:eastAsia="Tahoma" w:hAnsi="Tahoma" w:cs="Tahoma"/>
          <w:color w:val="000000"/>
          <w:sz w:val="24"/>
          <w:szCs w:val="24"/>
          <w:rtl/>
        </w:rPr>
        <w:t xml:space="preserve">ترك المشرع الأعذار المبررة للانقطاع عن العمل دون تحديد ماهيتها، </w:t>
      </w:r>
      <w:r>
        <w:rPr>
          <w:rFonts w:ascii="Tahoma" w:eastAsia="Tahoma" w:hAnsi="Tahoma" w:cs="Tahoma"/>
          <w:color w:val="000000"/>
          <w:sz w:val="24"/>
          <w:szCs w:val="24"/>
          <w:rtl/>
        </w:rPr>
        <w:t>فأوردها في عبارة عامة ومبهمة، ليبقي قبول السلطة المختصة( جهه العمل ) لها من عدمه، خاضعًا لتقدير القاضي؟! بوصفه الضمانة الأساسية لحماية الحقوق والحريات.</w:t>
      </w:r>
    </w:p>
    <w:p w14:paraId="00000058" w14:textId="77777777" w:rsidR="00D469DE" w:rsidRDefault="007B19A3">
      <w:pPr>
        <w:bidi/>
        <w:spacing w:before="220" w:line="240" w:lineRule="auto"/>
        <w:ind w:left="-360" w:right="-360"/>
        <w:jc w:val="both"/>
        <w:rPr>
          <w:rFonts w:ascii="Tahoma" w:eastAsia="Tahoma" w:hAnsi="Tahoma" w:cs="Tahoma"/>
          <w:sz w:val="24"/>
          <w:szCs w:val="24"/>
        </w:rPr>
      </w:pPr>
      <w:r>
        <w:rPr>
          <w:rFonts w:ascii="Tahoma" w:eastAsia="Tahoma" w:hAnsi="Tahoma" w:cs="Tahoma"/>
          <w:sz w:val="24"/>
          <w:szCs w:val="24"/>
          <w:rtl/>
        </w:rPr>
        <w:t>الامر الذى يمنح جهه الاداره سلطة تقديريه فى قبول العذر من عدمة عن اسباب اﻻنقطاع دون احالته الى الشئون ال</w:t>
      </w:r>
      <w:r>
        <w:rPr>
          <w:rFonts w:ascii="Tahoma" w:eastAsia="Tahoma" w:hAnsi="Tahoma" w:cs="Tahoma"/>
          <w:sz w:val="24"/>
          <w:szCs w:val="24"/>
          <w:rtl/>
        </w:rPr>
        <w:t>قانونيه ودون اجراء التحقيق معه او دون احالته للنيابه الاداريه ودوان انذارة .</w:t>
      </w:r>
    </w:p>
    <w:p w14:paraId="00000059" w14:textId="77777777" w:rsidR="00D469DE" w:rsidRDefault="007B19A3">
      <w:pPr>
        <w:bidi/>
        <w:spacing w:before="220" w:line="240" w:lineRule="auto"/>
        <w:ind w:left="-360" w:right="-360"/>
        <w:jc w:val="both"/>
        <w:rPr>
          <w:rFonts w:ascii="Tahoma" w:eastAsia="Tahoma" w:hAnsi="Tahoma" w:cs="Tahoma"/>
          <w:sz w:val="24"/>
          <w:szCs w:val="24"/>
        </w:rPr>
      </w:pPr>
      <w:r>
        <w:rPr>
          <w:rFonts w:ascii="Tahoma" w:eastAsia="Tahoma" w:hAnsi="Tahoma" w:cs="Tahoma"/>
          <w:sz w:val="24"/>
          <w:szCs w:val="24"/>
          <w:rtl/>
        </w:rPr>
        <w:t>ما يعني أن يفاجأ الموظف بقرار فصله دون علم منه او دون اجراء اى مناقشه معه ولا يكون له حق ابداء اى دفوع عن اسباب الانقطاع ، وهو أمر شديد الخطورة ة ويهدد ظروف الموظف الاقتصاديه والا</w:t>
      </w:r>
      <w:r>
        <w:rPr>
          <w:rFonts w:ascii="Tahoma" w:eastAsia="Tahoma" w:hAnsi="Tahoma" w:cs="Tahoma"/>
          <w:sz w:val="24"/>
          <w:szCs w:val="24"/>
          <w:rtl/>
        </w:rPr>
        <w:t>جتماعيه ، لاسيما اذا كان رب اسرة ، ويعرض الموظف للتشرد هو واسرته.</w:t>
      </w:r>
    </w:p>
    <w:p w14:paraId="0000005A" w14:textId="77777777" w:rsidR="00D469DE" w:rsidRDefault="007B19A3">
      <w:pPr>
        <w:numPr>
          <w:ilvl w:val="0"/>
          <w:numId w:val="1"/>
        </w:numPr>
        <w:pBdr>
          <w:top w:val="nil"/>
          <w:left w:val="nil"/>
          <w:bottom w:val="nil"/>
          <w:right w:val="nil"/>
          <w:between w:val="nil"/>
        </w:pBdr>
        <w:bidi/>
        <w:spacing w:before="220" w:line="240" w:lineRule="auto"/>
        <w:ind w:right="-360"/>
        <w:jc w:val="both"/>
        <w:rPr>
          <w:rFonts w:ascii="Tahoma" w:eastAsia="Tahoma" w:hAnsi="Tahoma" w:cs="Tahoma"/>
          <w:color w:val="FF0000"/>
          <w:sz w:val="24"/>
          <w:szCs w:val="24"/>
        </w:rPr>
      </w:pPr>
      <w:r>
        <w:rPr>
          <w:rFonts w:ascii="Tahoma" w:eastAsia="Tahoma" w:hAnsi="Tahoma" w:cs="Tahoma"/>
          <w:color w:val="000000"/>
          <w:sz w:val="24"/>
          <w:szCs w:val="24"/>
          <w:rtl/>
        </w:rPr>
        <w:t>اما بالنسبه للبند (9) من القانون رقم 81 لسنه 2016 من قانون الخدمة المدنية وجب التنويه الى ان القانون المصرى لم ينص على على تعريف للجرائم المخله بالشرف او الامانه بل والاكثر من ذلك لم يقم الم</w:t>
      </w:r>
      <w:r>
        <w:rPr>
          <w:rFonts w:ascii="Tahoma" w:eastAsia="Tahoma" w:hAnsi="Tahoma" w:cs="Tahoma"/>
          <w:color w:val="000000"/>
          <w:sz w:val="24"/>
          <w:szCs w:val="24"/>
          <w:rtl/>
        </w:rPr>
        <w:t>شرع بحصر هذه الجرائم لكن اكتفي بذكر بعضها على سبيل المثال ! إى اننا أمام هذا الفراغ التشريعي من عدم تعريف الجرائم المخلة بالشرف أو الأمانة، نجد أن جهة الإدارة قد توسعت في سلطتها التقديرية في تقرير ما إذا كانت الجريمة مخلة بالشرف من عدمه وبالتالى تبيح فصل ا</w:t>
      </w:r>
      <w:r>
        <w:rPr>
          <w:rFonts w:ascii="Tahoma" w:eastAsia="Tahoma" w:hAnsi="Tahoma" w:cs="Tahoma"/>
          <w:color w:val="000000"/>
          <w:sz w:val="24"/>
          <w:szCs w:val="24"/>
          <w:rtl/>
        </w:rPr>
        <w:t>لموظفين تحت مسمى ارتكابه جريمة مخله بالشرف او الامانه دون اجراء اى تحقيق معه من قبل الادارة القانونيه داخل هذه المؤسسه او الوزاره الحكوميه ودون احالته للنيابه الاداريه.</w:t>
      </w:r>
    </w:p>
    <w:p w14:paraId="0000005B" w14:textId="77777777" w:rsidR="00D469DE" w:rsidRDefault="007B19A3">
      <w:pPr>
        <w:bidi/>
        <w:spacing w:before="220" w:after="140" w:line="240" w:lineRule="auto"/>
        <w:ind w:left="-360" w:right="-360"/>
        <w:jc w:val="both"/>
        <w:rPr>
          <w:rFonts w:ascii="Tahoma" w:eastAsia="Tahoma" w:hAnsi="Tahoma" w:cs="Tahoma"/>
          <w:b/>
          <w:sz w:val="24"/>
          <w:szCs w:val="24"/>
        </w:rPr>
      </w:pPr>
      <w:r>
        <w:rPr>
          <w:rFonts w:ascii="Tahoma" w:eastAsia="Tahoma" w:hAnsi="Tahoma" w:cs="Tahoma"/>
          <w:b/>
          <w:sz w:val="24"/>
          <w:szCs w:val="24"/>
          <w:rtl/>
        </w:rPr>
        <w:t>تقول محكمة النقض:</w:t>
      </w:r>
    </w:p>
    <w:p w14:paraId="0000005C" w14:textId="77777777" w:rsidR="00D469DE" w:rsidRDefault="007B19A3">
      <w:pPr>
        <w:bidi/>
        <w:spacing w:before="220" w:after="140" w:line="240" w:lineRule="auto"/>
        <w:ind w:left="-360" w:right="-360"/>
        <w:jc w:val="both"/>
        <w:rPr>
          <w:rFonts w:ascii="Tahoma" w:eastAsia="Tahoma" w:hAnsi="Tahoma" w:cs="Tahoma"/>
          <w:sz w:val="24"/>
          <w:szCs w:val="24"/>
        </w:rPr>
      </w:pPr>
      <w:r>
        <w:rPr>
          <w:rFonts w:ascii="Tahoma" w:eastAsia="Tahoma" w:hAnsi="Tahoma" w:cs="Tahoma"/>
          <w:sz w:val="24"/>
          <w:szCs w:val="24"/>
          <w:rtl/>
        </w:rPr>
        <w:t>"ومن المقرر بقضاء محكمة النقض ان العبرة فى سلامة قرار الفصل العامل وم</w:t>
      </w:r>
      <w:r>
        <w:rPr>
          <w:rFonts w:ascii="Tahoma" w:eastAsia="Tahoma" w:hAnsi="Tahoma" w:cs="Tahoma"/>
          <w:sz w:val="24"/>
          <w:szCs w:val="24"/>
          <w:rtl/>
        </w:rPr>
        <w:t>ا اذا كان صاحب العمل متعسفا فيه من عدمه بالظروف والملابسات التى تحيط به وقت صدوره"</w:t>
      </w:r>
      <w:r>
        <w:rPr>
          <w:rFonts w:ascii="Tahoma" w:eastAsia="Tahoma" w:hAnsi="Tahoma" w:cs="Tahoma"/>
          <w:sz w:val="24"/>
          <w:szCs w:val="24"/>
          <w:vertAlign w:val="superscript"/>
        </w:rPr>
        <w:footnoteReference w:id="1"/>
      </w:r>
      <w:r>
        <w:rPr>
          <w:rFonts w:ascii="Tahoma" w:eastAsia="Tahoma" w:hAnsi="Tahoma" w:cs="Tahoma"/>
          <w:sz w:val="24"/>
          <w:szCs w:val="24"/>
        </w:rPr>
        <w:t>.</w:t>
      </w:r>
    </w:p>
    <w:p w14:paraId="0000005D" w14:textId="77777777" w:rsidR="00D469DE" w:rsidRDefault="007B19A3">
      <w:pPr>
        <w:bidi/>
        <w:spacing w:before="220" w:after="140" w:line="240" w:lineRule="auto"/>
        <w:ind w:left="-360" w:right="-360"/>
        <w:jc w:val="both"/>
        <w:rPr>
          <w:rFonts w:ascii="Tahoma" w:eastAsia="Tahoma" w:hAnsi="Tahoma" w:cs="Tahoma"/>
          <w:b/>
          <w:sz w:val="24"/>
          <w:szCs w:val="24"/>
        </w:rPr>
      </w:pPr>
      <w:r>
        <w:rPr>
          <w:rFonts w:ascii="Tahoma" w:eastAsia="Tahoma" w:hAnsi="Tahoma" w:cs="Tahoma"/>
          <w:b/>
          <w:sz w:val="24"/>
          <w:szCs w:val="24"/>
          <w:rtl/>
        </w:rPr>
        <w:t>كما قد قررت محكمة النقض في هذا الشأن أيضا:</w:t>
      </w:r>
    </w:p>
    <w:p w14:paraId="0000005E" w14:textId="77777777" w:rsidR="00D469DE" w:rsidRDefault="007B19A3">
      <w:pPr>
        <w:bidi/>
        <w:spacing w:before="220" w:after="140" w:line="240" w:lineRule="auto"/>
        <w:ind w:left="-360" w:right="-360"/>
        <w:jc w:val="both"/>
        <w:rPr>
          <w:rFonts w:ascii="Tahoma" w:eastAsia="Tahoma" w:hAnsi="Tahoma" w:cs="Tahoma"/>
          <w:sz w:val="24"/>
          <w:szCs w:val="24"/>
        </w:rPr>
      </w:pPr>
      <w:r>
        <w:rPr>
          <w:rFonts w:ascii="Tahoma" w:eastAsia="Tahoma" w:hAnsi="Tahoma" w:cs="Tahoma"/>
          <w:sz w:val="24"/>
          <w:szCs w:val="24"/>
          <w:rtl/>
        </w:rPr>
        <w:lastRenderedPageBreak/>
        <w:t>"تقدير قيام المبرر لفصل العامل وعلى ما جرى به قضاء هذه المحكمة مما يستقل به قاضى الموضوع و اذا كانت محكمة الموضوع قد انتهت فى حد</w:t>
      </w:r>
      <w:r>
        <w:rPr>
          <w:rFonts w:ascii="Tahoma" w:eastAsia="Tahoma" w:hAnsi="Tahoma" w:cs="Tahoma"/>
          <w:sz w:val="24"/>
          <w:szCs w:val="24"/>
          <w:rtl/>
        </w:rPr>
        <w:t>ود سلطتها التقديرية لما ساقته مع تدليل سائغ إلى عدم تناسب جزاء الفصل الموقع على المطعون ضده على ما بدر منه من إهمال مما يجعل فصله مشوبا بالتعسف فإن ما تنعاه الطاعنة على الحكم المطعون فيه فى هذا الشأن يكون على غير أساس"</w:t>
      </w:r>
      <w:r>
        <w:rPr>
          <w:rFonts w:ascii="Tahoma" w:eastAsia="Tahoma" w:hAnsi="Tahoma" w:cs="Tahoma"/>
          <w:sz w:val="24"/>
          <w:szCs w:val="24"/>
          <w:vertAlign w:val="superscript"/>
        </w:rPr>
        <w:footnoteReference w:id="2"/>
      </w:r>
      <w:r>
        <w:rPr>
          <w:rFonts w:ascii="Tahoma" w:eastAsia="Tahoma" w:hAnsi="Tahoma" w:cs="Tahoma"/>
          <w:sz w:val="24"/>
          <w:szCs w:val="24"/>
        </w:rPr>
        <w:t xml:space="preserve"> .</w:t>
      </w:r>
    </w:p>
    <w:p w14:paraId="0000005F" w14:textId="77777777" w:rsidR="00D469DE" w:rsidRDefault="007B19A3">
      <w:pPr>
        <w:bidi/>
        <w:spacing w:before="220" w:line="240" w:lineRule="auto"/>
        <w:ind w:left="-360" w:right="-360"/>
        <w:jc w:val="both"/>
        <w:rPr>
          <w:rFonts w:ascii="Tahoma" w:eastAsia="Tahoma" w:hAnsi="Tahoma" w:cs="Tahoma"/>
          <w:sz w:val="24"/>
          <w:szCs w:val="24"/>
        </w:rPr>
      </w:pPr>
      <w:r>
        <w:rPr>
          <w:rFonts w:ascii="Tahoma" w:eastAsia="Tahoma" w:hAnsi="Tahoma" w:cs="Tahoma"/>
          <w:b/>
          <w:sz w:val="36"/>
          <w:szCs w:val="36"/>
          <w:rtl/>
        </w:rPr>
        <w:t xml:space="preserve">من </w:t>
      </w:r>
      <w:r>
        <w:rPr>
          <w:rFonts w:ascii="Tahoma" w:eastAsia="Tahoma" w:hAnsi="Tahoma" w:cs="Tahoma"/>
          <w:sz w:val="24"/>
          <w:szCs w:val="24"/>
          <w:rtl/>
        </w:rPr>
        <w:t xml:space="preserve">هنا فإنه يتعين وقف العمل " ولو </w:t>
      </w:r>
      <w:r>
        <w:rPr>
          <w:rFonts w:ascii="Tahoma" w:eastAsia="Tahoma" w:hAnsi="Tahoma" w:cs="Tahoma"/>
          <w:sz w:val="24"/>
          <w:szCs w:val="24"/>
          <w:rtl/>
        </w:rPr>
        <w:t>مؤقتا"  بقانون الخدمة المدنية ، لحين مراجعته ، والعمل على كفالة الضمانات والحقوق التي كان منصوص عليها بالقانون رقم 47 لسنه 1978 من قانون الخدمة المدنيه للعاملين بالدولة ، والعودة للتدرج في الجزاءات ، واتباع الاجراءات التأديبيه من اجراء تحقيق مع العامل وتوق</w:t>
      </w:r>
      <w:r>
        <w:rPr>
          <w:rFonts w:ascii="Tahoma" w:eastAsia="Tahoma" w:hAnsi="Tahoma" w:cs="Tahoma"/>
          <w:sz w:val="24"/>
          <w:szCs w:val="24"/>
          <w:rtl/>
        </w:rPr>
        <w:t>يع اللوم وانذارة وتوقيع الجزاء التأديبى وسماع دفاعه اذا ارتكب مخالفة ،  وأن يكون للنيابه الاداريه وحدها أن تقرر جزاء الفصل من عدمة وعدم ترك الامر بيد الاداره ( جهه العمل ) حفاظا على ظروف العامل المعيشيه و الاسريه والاجتماعية والاقتصادية .</w:t>
      </w:r>
    </w:p>
    <w:p w14:paraId="00000060" w14:textId="77777777" w:rsidR="00D469DE" w:rsidRDefault="00D469DE">
      <w:pPr>
        <w:bidi/>
        <w:spacing w:before="220" w:line="240" w:lineRule="auto"/>
        <w:ind w:left="-360" w:right="-360"/>
        <w:jc w:val="both"/>
        <w:rPr>
          <w:rFonts w:ascii="Tahoma" w:eastAsia="Tahoma" w:hAnsi="Tahoma" w:cs="Tahoma"/>
          <w:sz w:val="24"/>
          <w:szCs w:val="24"/>
        </w:rPr>
      </w:pPr>
    </w:p>
    <w:sectPr w:rsidR="00D469DE" w:rsidSect="00135CE1">
      <w:headerReference w:type="default" r:id="rId9"/>
      <w:pgSz w:w="12240" w:h="15840"/>
      <w:pgMar w:top="1440" w:right="1440" w:bottom="1440" w:left="1440" w:header="720" w:footer="0" w:gutter="0"/>
      <w:pgBorders w:offsetFrom="page">
        <w:top w:val="single" w:sz="4" w:space="24" w:color="auto" w:shadow="1"/>
        <w:left w:val="single" w:sz="4" w:space="24" w:color="auto" w:shadow="1"/>
        <w:bottom w:val="single" w:sz="4" w:space="24" w:color="auto" w:shadow="1"/>
        <w:right w:val="single" w:sz="4" w:space="24" w:color="auto" w:shadow="1"/>
      </w:pgBorders>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45A8247" w14:textId="77777777" w:rsidR="007B19A3" w:rsidRDefault="007B19A3">
      <w:pPr>
        <w:spacing w:line="240" w:lineRule="auto"/>
      </w:pPr>
      <w:r>
        <w:separator/>
      </w:r>
    </w:p>
  </w:endnote>
  <w:endnote w:type="continuationSeparator" w:id="0">
    <w:p w14:paraId="0F7B5785" w14:textId="77777777" w:rsidR="007B19A3" w:rsidRDefault="007B19A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Times New Roman">
    <w:panose1 w:val="02020603050405020304"/>
    <w:charset w:val="00"/>
    <w:family w:val="roman"/>
    <w:pitch w:val="variable"/>
    <w:sig w:usb0="E0002AFF" w:usb1="C0007843" w:usb2="00000009" w:usb3="00000000" w:csb0="000001FF" w:csb1="00000000"/>
  </w:font>
  <w:font w:name="OpenSymbol">
    <w:altName w:val="Times New Roman"/>
    <w:charset w:val="01"/>
    <w:family w:val="auto"/>
    <w:pitch w:val="variable"/>
    <w:sig w:usb0="00000001" w:usb1="00000000" w:usb2="00000000" w:usb3="00000000" w:csb0="00000040" w:csb1="00000000"/>
  </w:font>
  <w:font w:name="Liberation Sans">
    <w:altName w:val="Times New Roman"/>
    <w:charset w:val="01"/>
    <w:family w:val="roman"/>
    <w:pitch w:val="variable"/>
  </w:font>
  <w:font w:name="Noto Sans CJK SC">
    <w:panose1 w:val="00000000000000000000"/>
    <w:charset w:val="00"/>
    <w:family w:val="roman"/>
    <w:notTrueType/>
    <w:pitch w:val="default"/>
  </w:font>
  <w:font w:name="Lohit Devanagari">
    <w:altName w:val="Times New Roman"/>
    <w:panose1 w:val="00000000000000000000"/>
    <w:charset w:val="00"/>
    <w:family w:val="roman"/>
    <w:notTrueType/>
    <w:pitch w:val="default"/>
  </w:font>
  <w:font w:name="Mangal">
    <w:altName w:val="AbdoMaster-Black"/>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4000ACFF" w:usb2="00000001"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0667BF" w14:textId="77777777" w:rsidR="007B19A3" w:rsidRDefault="007B19A3">
      <w:pPr>
        <w:spacing w:line="240" w:lineRule="auto"/>
      </w:pPr>
      <w:r>
        <w:separator/>
      </w:r>
    </w:p>
  </w:footnote>
  <w:footnote w:type="continuationSeparator" w:id="0">
    <w:p w14:paraId="51B8FE93" w14:textId="77777777" w:rsidR="007B19A3" w:rsidRDefault="007B19A3">
      <w:pPr>
        <w:spacing w:line="240" w:lineRule="auto"/>
      </w:pPr>
      <w:r>
        <w:continuationSeparator/>
      </w:r>
    </w:p>
  </w:footnote>
  <w:footnote w:id="1">
    <w:p w14:paraId="00000061" w14:textId="77777777" w:rsidR="00D469DE" w:rsidRDefault="007B19A3">
      <w:pPr>
        <w:numPr>
          <w:ilvl w:val="0"/>
          <w:numId w:val="5"/>
        </w:numPr>
        <w:bidi/>
        <w:spacing w:line="240" w:lineRule="auto"/>
      </w:pPr>
      <w:r>
        <w:rPr>
          <w:vertAlign w:val="superscript"/>
        </w:rPr>
        <w:footnoteRef/>
      </w:r>
      <w:r>
        <w:tab/>
      </w:r>
      <w:r>
        <w:tab/>
      </w:r>
      <w:r>
        <w:tab/>
      </w:r>
      <w:r>
        <w:rPr>
          <w:vertAlign w:val="superscript"/>
        </w:rPr>
        <w:tab/>
      </w:r>
      <w:r>
        <w:rPr>
          <w:sz w:val="20"/>
          <w:szCs w:val="20"/>
          <w:rtl/>
        </w:rPr>
        <w:t>الحكم الصادر من محكمة النقض في الطعن رقم 5470 لسنة 75 قضائية بجلسة 9 مارس 2006.</w:t>
      </w:r>
    </w:p>
  </w:footnote>
  <w:footnote w:id="2">
    <w:p w14:paraId="00000062" w14:textId="77777777" w:rsidR="00D469DE" w:rsidRDefault="007B19A3">
      <w:pPr>
        <w:numPr>
          <w:ilvl w:val="0"/>
          <w:numId w:val="4"/>
        </w:numPr>
        <w:bidi/>
        <w:spacing w:line="240" w:lineRule="auto"/>
      </w:pPr>
      <w:r>
        <w:rPr>
          <w:vertAlign w:val="superscript"/>
        </w:rPr>
        <w:footnoteRef/>
      </w:r>
      <w:r>
        <w:tab/>
      </w:r>
      <w:r>
        <w:tab/>
      </w:r>
      <w:r>
        <w:tab/>
      </w:r>
      <w:r>
        <w:rPr>
          <w:vertAlign w:val="superscript"/>
        </w:rPr>
        <w:tab/>
      </w:r>
      <w:r>
        <w:rPr>
          <w:sz w:val="20"/>
          <w:szCs w:val="20"/>
          <w:rtl/>
        </w:rPr>
        <w:t xml:space="preserve">الاحكام </w:t>
      </w:r>
      <w:r>
        <w:rPr>
          <w:sz w:val="20"/>
          <w:szCs w:val="20"/>
          <w:rtl/>
        </w:rPr>
        <w:t>الصادرة من محكمة النقض في الطعون ارقام 554 لسنة 40 قضائية بجلسة 2 مابو 1976، 125 لسنة 36 قضائية بجلسة</w:t>
      </w:r>
      <w:r>
        <w:rPr>
          <w:sz w:val="20"/>
          <w:szCs w:val="20"/>
          <w:rtl/>
        </w:rPr>
        <w:t xml:space="preserve"> 18 مارس 1972، 84 لسنة 37 قضائية بجلسة 6 مارس 1973، 435 لسنة 42 قضائية بجلسة 22 ابريل 1978</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063" w14:textId="77777777" w:rsidR="00D469DE" w:rsidRDefault="00D469DE"/>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147229A"/>
    <w:multiLevelType w:val="multilevel"/>
    <w:tmpl w:val="4C328C16"/>
    <w:lvl w:ilvl="0">
      <w:start w:val="1"/>
      <w:numFmt w:val="bullet"/>
      <w:lvlText w:val="-"/>
      <w:lvlJc w:val="left"/>
      <w:pPr>
        <w:ind w:left="432" w:hanging="360"/>
      </w:pPr>
      <w:rPr>
        <w:rFonts w:ascii="Arial" w:eastAsia="Arial" w:hAnsi="Arial" w:cs="Arial"/>
        <w:sz w:val="28"/>
        <w:szCs w:val="28"/>
      </w:rPr>
    </w:lvl>
    <w:lvl w:ilvl="1">
      <w:start w:val="1"/>
      <w:numFmt w:val="bullet"/>
      <w:lvlText w:val="o"/>
      <w:lvlJc w:val="left"/>
      <w:pPr>
        <w:ind w:left="1152" w:hanging="360"/>
      </w:pPr>
      <w:rPr>
        <w:rFonts w:ascii="Courier New" w:eastAsia="Courier New" w:hAnsi="Courier New" w:cs="Courier New"/>
      </w:rPr>
    </w:lvl>
    <w:lvl w:ilvl="2">
      <w:start w:val="1"/>
      <w:numFmt w:val="bullet"/>
      <w:lvlText w:val="▪"/>
      <w:lvlJc w:val="left"/>
      <w:pPr>
        <w:ind w:left="1872" w:hanging="360"/>
      </w:pPr>
      <w:rPr>
        <w:rFonts w:ascii="Noto Sans Symbols" w:eastAsia="Noto Sans Symbols" w:hAnsi="Noto Sans Symbols" w:cs="Noto Sans Symbols"/>
      </w:rPr>
    </w:lvl>
    <w:lvl w:ilvl="3">
      <w:start w:val="1"/>
      <w:numFmt w:val="bullet"/>
      <w:lvlText w:val="●"/>
      <w:lvlJc w:val="left"/>
      <w:pPr>
        <w:ind w:left="2592" w:hanging="360"/>
      </w:pPr>
      <w:rPr>
        <w:rFonts w:ascii="Noto Sans Symbols" w:eastAsia="Noto Sans Symbols" w:hAnsi="Noto Sans Symbols" w:cs="Noto Sans Symbols"/>
      </w:rPr>
    </w:lvl>
    <w:lvl w:ilvl="4">
      <w:start w:val="1"/>
      <w:numFmt w:val="bullet"/>
      <w:lvlText w:val="o"/>
      <w:lvlJc w:val="left"/>
      <w:pPr>
        <w:ind w:left="3312" w:hanging="360"/>
      </w:pPr>
      <w:rPr>
        <w:rFonts w:ascii="Courier New" w:eastAsia="Courier New" w:hAnsi="Courier New" w:cs="Courier New"/>
      </w:rPr>
    </w:lvl>
    <w:lvl w:ilvl="5">
      <w:start w:val="1"/>
      <w:numFmt w:val="bullet"/>
      <w:lvlText w:val="▪"/>
      <w:lvlJc w:val="left"/>
      <w:pPr>
        <w:ind w:left="4032" w:hanging="360"/>
      </w:pPr>
      <w:rPr>
        <w:rFonts w:ascii="Noto Sans Symbols" w:eastAsia="Noto Sans Symbols" w:hAnsi="Noto Sans Symbols" w:cs="Noto Sans Symbols"/>
      </w:rPr>
    </w:lvl>
    <w:lvl w:ilvl="6">
      <w:start w:val="1"/>
      <w:numFmt w:val="bullet"/>
      <w:lvlText w:val="●"/>
      <w:lvlJc w:val="left"/>
      <w:pPr>
        <w:ind w:left="4752" w:hanging="360"/>
      </w:pPr>
      <w:rPr>
        <w:rFonts w:ascii="Noto Sans Symbols" w:eastAsia="Noto Sans Symbols" w:hAnsi="Noto Sans Symbols" w:cs="Noto Sans Symbols"/>
      </w:rPr>
    </w:lvl>
    <w:lvl w:ilvl="7">
      <w:start w:val="1"/>
      <w:numFmt w:val="bullet"/>
      <w:lvlText w:val="o"/>
      <w:lvlJc w:val="left"/>
      <w:pPr>
        <w:ind w:left="5472" w:hanging="360"/>
      </w:pPr>
      <w:rPr>
        <w:rFonts w:ascii="Courier New" w:eastAsia="Courier New" w:hAnsi="Courier New" w:cs="Courier New"/>
      </w:rPr>
    </w:lvl>
    <w:lvl w:ilvl="8">
      <w:start w:val="1"/>
      <w:numFmt w:val="bullet"/>
      <w:lvlText w:val="▪"/>
      <w:lvlJc w:val="left"/>
      <w:pPr>
        <w:ind w:left="6192" w:hanging="360"/>
      </w:pPr>
      <w:rPr>
        <w:rFonts w:ascii="Noto Sans Symbols" w:eastAsia="Noto Sans Symbols" w:hAnsi="Noto Sans Symbols" w:cs="Noto Sans Symbols"/>
      </w:rPr>
    </w:lvl>
  </w:abstractNum>
  <w:abstractNum w:abstractNumId="1" w15:restartNumberingAfterBreak="0">
    <w:nsid w:val="43CD4835"/>
    <w:multiLevelType w:val="multilevel"/>
    <w:tmpl w:val="A9906DCC"/>
    <w:lvl w:ilvl="0">
      <w:start w:val="1"/>
      <w:numFmt w:val="bullet"/>
      <w:lvlText w:val="-"/>
      <w:lvlJc w:val="left"/>
      <w:pPr>
        <w:ind w:left="720" w:hanging="360"/>
      </w:pPr>
      <w:rPr>
        <w:rFonts w:ascii="Noto Sans Symbols" w:eastAsia="Noto Sans Symbols" w:hAnsi="Noto Sans Symbols" w:cs="Noto Sans Symbols"/>
        <w:sz w:val="20"/>
        <w:szCs w:val="20"/>
        <w:u w:val="none"/>
      </w:rPr>
    </w:lvl>
    <w:lvl w:ilvl="1">
      <w:start w:val="1"/>
      <w:numFmt w:val="bullet"/>
      <w:lvlText w:val="-"/>
      <w:lvlJc w:val="left"/>
      <w:pPr>
        <w:ind w:left="1440" w:hanging="360"/>
      </w:pPr>
      <w:rPr>
        <w:rFonts w:ascii="Noto Sans Symbols" w:eastAsia="Noto Sans Symbols" w:hAnsi="Noto Sans Symbols" w:cs="Noto Sans Symbols"/>
        <w:u w:val="none"/>
      </w:rPr>
    </w:lvl>
    <w:lvl w:ilvl="2">
      <w:start w:val="1"/>
      <w:numFmt w:val="bullet"/>
      <w:lvlText w:val="-"/>
      <w:lvlJc w:val="left"/>
      <w:pPr>
        <w:ind w:left="2160" w:hanging="360"/>
      </w:pPr>
      <w:rPr>
        <w:rFonts w:ascii="Noto Sans Symbols" w:eastAsia="Noto Sans Symbols" w:hAnsi="Noto Sans Symbols" w:cs="Noto Sans Symbols"/>
        <w:u w:val="none"/>
      </w:rPr>
    </w:lvl>
    <w:lvl w:ilvl="3">
      <w:start w:val="1"/>
      <w:numFmt w:val="bullet"/>
      <w:lvlText w:val="-"/>
      <w:lvlJc w:val="left"/>
      <w:pPr>
        <w:ind w:left="2880" w:hanging="360"/>
      </w:pPr>
      <w:rPr>
        <w:rFonts w:ascii="Noto Sans Symbols" w:eastAsia="Noto Sans Symbols" w:hAnsi="Noto Sans Symbols" w:cs="Noto Sans Symbols"/>
        <w:u w:val="none"/>
      </w:rPr>
    </w:lvl>
    <w:lvl w:ilvl="4">
      <w:start w:val="1"/>
      <w:numFmt w:val="bullet"/>
      <w:lvlText w:val="-"/>
      <w:lvlJc w:val="left"/>
      <w:pPr>
        <w:ind w:left="3600" w:hanging="360"/>
      </w:pPr>
      <w:rPr>
        <w:rFonts w:ascii="Noto Sans Symbols" w:eastAsia="Noto Sans Symbols" w:hAnsi="Noto Sans Symbols" w:cs="Noto Sans Symbols"/>
        <w:u w:val="none"/>
      </w:rPr>
    </w:lvl>
    <w:lvl w:ilvl="5">
      <w:start w:val="1"/>
      <w:numFmt w:val="bullet"/>
      <w:lvlText w:val="-"/>
      <w:lvlJc w:val="left"/>
      <w:pPr>
        <w:ind w:left="4320" w:hanging="360"/>
      </w:pPr>
      <w:rPr>
        <w:rFonts w:ascii="Noto Sans Symbols" w:eastAsia="Noto Sans Symbols" w:hAnsi="Noto Sans Symbols" w:cs="Noto Sans Symbols"/>
        <w:u w:val="none"/>
      </w:rPr>
    </w:lvl>
    <w:lvl w:ilvl="6">
      <w:start w:val="1"/>
      <w:numFmt w:val="bullet"/>
      <w:lvlText w:val="-"/>
      <w:lvlJc w:val="left"/>
      <w:pPr>
        <w:ind w:left="5040" w:hanging="360"/>
      </w:pPr>
      <w:rPr>
        <w:rFonts w:ascii="Noto Sans Symbols" w:eastAsia="Noto Sans Symbols" w:hAnsi="Noto Sans Symbols" w:cs="Noto Sans Symbols"/>
        <w:u w:val="none"/>
      </w:rPr>
    </w:lvl>
    <w:lvl w:ilvl="7">
      <w:start w:val="1"/>
      <w:numFmt w:val="bullet"/>
      <w:lvlText w:val="-"/>
      <w:lvlJc w:val="left"/>
      <w:pPr>
        <w:ind w:left="5760" w:hanging="360"/>
      </w:pPr>
      <w:rPr>
        <w:rFonts w:ascii="Noto Sans Symbols" w:eastAsia="Noto Sans Symbols" w:hAnsi="Noto Sans Symbols" w:cs="Noto Sans Symbols"/>
        <w:u w:val="none"/>
      </w:rPr>
    </w:lvl>
    <w:lvl w:ilvl="8">
      <w:start w:val="1"/>
      <w:numFmt w:val="bullet"/>
      <w:lvlText w:val="-"/>
      <w:lvlJc w:val="left"/>
      <w:pPr>
        <w:ind w:left="6480" w:hanging="360"/>
      </w:pPr>
      <w:rPr>
        <w:rFonts w:ascii="Noto Sans Symbols" w:eastAsia="Noto Sans Symbols" w:hAnsi="Noto Sans Symbols" w:cs="Noto Sans Symbols"/>
        <w:u w:val="none"/>
      </w:rPr>
    </w:lvl>
  </w:abstractNum>
  <w:abstractNum w:abstractNumId="2" w15:restartNumberingAfterBreak="0">
    <w:nsid w:val="4FBA56B7"/>
    <w:multiLevelType w:val="multilevel"/>
    <w:tmpl w:val="DE76CF52"/>
    <w:lvl w:ilvl="0">
      <w:start w:val="1"/>
      <w:numFmt w:val="decimal"/>
      <w:lvlText w:val="%1-"/>
      <w:lvlJc w:val="left"/>
      <w:pPr>
        <w:ind w:left="156" w:hanging="360"/>
      </w:pPr>
    </w:lvl>
    <w:lvl w:ilvl="1">
      <w:start w:val="1"/>
      <w:numFmt w:val="lowerLetter"/>
      <w:lvlText w:val="%2."/>
      <w:lvlJc w:val="left"/>
      <w:pPr>
        <w:ind w:left="876" w:hanging="360"/>
      </w:pPr>
    </w:lvl>
    <w:lvl w:ilvl="2">
      <w:start w:val="1"/>
      <w:numFmt w:val="lowerRoman"/>
      <w:lvlText w:val="%3."/>
      <w:lvlJc w:val="right"/>
      <w:pPr>
        <w:ind w:left="1596" w:hanging="180"/>
      </w:pPr>
    </w:lvl>
    <w:lvl w:ilvl="3">
      <w:start w:val="1"/>
      <w:numFmt w:val="decimal"/>
      <w:lvlText w:val="%4."/>
      <w:lvlJc w:val="left"/>
      <w:pPr>
        <w:ind w:left="2316" w:hanging="360"/>
      </w:pPr>
    </w:lvl>
    <w:lvl w:ilvl="4">
      <w:start w:val="1"/>
      <w:numFmt w:val="lowerLetter"/>
      <w:lvlText w:val="%5."/>
      <w:lvlJc w:val="left"/>
      <w:pPr>
        <w:ind w:left="3036" w:hanging="360"/>
      </w:pPr>
    </w:lvl>
    <w:lvl w:ilvl="5">
      <w:start w:val="1"/>
      <w:numFmt w:val="lowerRoman"/>
      <w:lvlText w:val="%6."/>
      <w:lvlJc w:val="right"/>
      <w:pPr>
        <w:ind w:left="3756" w:hanging="180"/>
      </w:pPr>
    </w:lvl>
    <w:lvl w:ilvl="6">
      <w:start w:val="1"/>
      <w:numFmt w:val="decimal"/>
      <w:lvlText w:val="%7."/>
      <w:lvlJc w:val="left"/>
      <w:pPr>
        <w:ind w:left="4476" w:hanging="360"/>
      </w:pPr>
    </w:lvl>
    <w:lvl w:ilvl="7">
      <w:start w:val="1"/>
      <w:numFmt w:val="lowerLetter"/>
      <w:lvlText w:val="%8."/>
      <w:lvlJc w:val="left"/>
      <w:pPr>
        <w:ind w:left="5196" w:hanging="360"/>
      </w:pPr>
    </w:lvl>
    <w:lvl w:ilvl="8">
      <w:start w:val="1"/>
      <w:numFmt w:val="lowerRoman"/>
      <w:lvlText w:val="%9."/>
      <w:lvlJc w:val="right"/>
      <w:pPr>
        <w:ind w:left="5916" w:hanging="180"/>
      </w:pPr>
    </w:lvl>
  </w:abstractNum>
  <w:abstractNum w:abstractNumId="3" w15:restartNumberingAfterBreak="0">
    <w:nsid w:val="66AA56E6"/>
    <w:multiLevelType w:val="multilevel"/>
    <w:tmpl w:val="F536C796"/>
    <w:lvl w:ilvl="0">
      <w:start w:val="1"/>
      <w:numFmt w:val="bullet"/>
      <w:lvlText w:val="-"/>
      <w:lvlJc w:val="left"/>
      <w:pPr>
        <w:ind w:left="720" w:hanging="360"/>
      </w:pPr>
      <w:rPr>
        <w:rFonts w:ascii="Noto Sans Symbols" w:eastAsia="Noto Sans Symbols" w:hAnsi="Noto Sans Symbols" w:cs="Noto Sans Symbols"/>
        <w:sz w:val="20"/>
        <w:szCs w:val="20"/>
        <w:u w:val="none"/>
      </w:rPr>
    </w:lvl>
    <w:lvl w:ilvl="1">
      <w:start w:val="1"/>
      <w:numFmt w:val="bullet"/>
      <w:lvlText w:val="-"/>
      <w:lvlJc w:val="left"/>
      <w:pPr>
        <w:ind w:left="1440" w:hanging="360"/>
      </w:pPr>
      <w:rPr>
        <w:rFonts w:ascii="Noto Sans Symbols" w:eastAsia="Noto Sans Symbols" w:hAnsi="Noto Sans Symbols" w:cs="Noto Sans Symbols"/>
        <w:u w:val="none"/>
      </w:rPr>
    </w:lvl>
    <w:lvl w:ilvl="2">
      <w:start w:val="1"/>
      <w:numFmt w:val="bullet"/>
      <w:lvlText w:val="-"/>
      <w:lvlJc w:val="left"/>
      <w:pPr>
        <w:ind w:left="2160" w:hanging="360"/>
      </w:pPr>
      <w:rPr>
        <w:rFonts w:ascii="Noto Sans Symbols" w:eastAsia="Noto Sans Symbols" w:hAnsi="Noto Sans Symbols" w:cs="Noto Sans Symbols"/>
        <w:u w:val="none"/>
      </w:rPr>
    </w:lvl>
    <w:lvl w:ilvl="3">
      <w:start w:val="1"/>
      <w:numFmt w:val="bullet"/>
      <w:lvlText w:val="-"/>
      <w:lvlJc w:val="left"/>
      <w:pPr>
        <w:ind w:left="2880" w:hanging="360"/>
      </w:pPr>
      <w:rPr>
        <w:rFonts w:ascii="Noto Sans Symbols" w:eastAsia="Noto Sans Symbols" w:hAnsi="Noto Sans Symbols" w:cs="Noto Sans Symbols"/>
        <w:u w:val="none"/>
      </w:rPr>
    </w:lvl>
    <w:lvl w:ilvl="4">
      <w:start w:val="1"/>
      <w:numFmt w:val="bullet"/>
      <w:lvlText w:val="-"/>
      <w:lvlJc w:val="left"/>
      <w:pPr>
        <w:ind w:left="3600" w:hanging="360"/>
      </w:pPr>
      <w:rPr>
        <w:rFonts w:ascii="Noto Sans Symbols" w:eastAsia="Noto Sans Symbols" w:hAnsi="Noto Sans Symbols" w:cs="Noto Sans Symbols"/>
        <w:u w:val="none"/>
      </w:rPr>
    </w:lvl>
    <w:lvl w:ilvl="5">
      <w:start w:val="1"/>
      <w:numFmt w:val="bullet"/>
      <w:lvlText w:val="-"/>
      <w:lvlJc w:val="left"/>
      <w:pPr>
        <w:ind w:left="4320" w:hanging="360"/>
      </w:pPr>
      <w:rPr>
        <w:rFonts w:ascii="Noto Sans Symbols" w:eastAsia="Noto Sans Symbols" w:hAnsi="Noto Sans Symbols" w:cs="Noto Sans Symbols"/>
        <w:u w:val="none"/>
      </w:rPr>
    </w:lvl>
    <w:lvl w:ilvl="6">
      <w:start w:val="1"/>
      <w:numFmt w:val="bullet"/>
      <w:lvlText w:val="-"/>
      <w:lvlJc w:val="left"/>
      <w:pPr>
        <w:ind w:left="5040" w:hanging="360"/>
      </w:pPr>
      <w:rPr>
        <w:rFonts w:ascii="Noto Sans Symbols" w:eastAsia="Noto Sans Symbols" w:hAnsi="Noto Sans Symbols" w:cs="Noto Sans Symbols"/>
        <w:u w:val="none"/>
      </w:rPr>
    </w:lvl>
    <w:lvl w:ilvl="7">
      <w:start w:val="1"/>
      <w:numFmt w:val="bullet"/>
      <w:lvlText w:val="-"/>
      <w:lvlJc w:val="left"/>
      <w:pPr>
        <w:ind w:left="5760" w:hanging="360"/>
      </w:pPr>
      <w:rPr>
        <w:rFonts w:ascii="Noto Sans Symbols" w:eastAsia="Noto Sans Symbols" w:hAnsi="Noto Sans Symbols" w:cs="Noto Sans Symbols"/>
        <w:u w:val="none"/>
      </w:rPr>
    </w:lvl>
    <w:lvl w:ilvl="8">
      <w:start w:val="1"/>
      <w:numFmt w:val="bullet"/>
      <w:lvlText w:val="-"/>
      <w:lvlJc w:val="left"/>
      <w:pPr>
        <w:ind w:left="6480" w:hanging="360"/>
      </w:pPr>
      <w:rPr>
        <w:rFonts w:ascii="Noto Sans Symbols" w:eastAsia="Noto Sans Symbols" w:hAnsi="Noto Sans Symbols" w:cs="Noto Sans Symbols"/>
        <w:u w:val="none"/>
      </w:rPr>
    </w:lvl>
  </w:abstractNum>
  <w:abstractNum w:abstractNumId="4" w15:restartNumberingAfterBreak="0">
    <w:nsid w:val="79186EFF"/>
    <w:multiLevelType w:val="multilevel"/>
    <w:tmpl w:val="D76CDA62"/>
    <w:lvl w:ilvl="0">
      <w:start w:val="4"/>
      <w:numFmt w:val="bullet"/>
      <w:lvlText w:val="●"/>
      <w:lvlJc w:val="left"/>
      <w:pPr>
        <w:ind w:left="0" w:hanging="360"/>
      </w:pPr>
      <w:rPr>
        <w:rFonts w:ascii="Noto Sans Symbols" w:eastAsia="Noto Sans Symbols" w:hAnsi="Noto Sans Symbols" w:cs="Noto Sans Symbols"/>
        <w:b/>
      </w:rPr>
    </w:lvl>
    <w:lvl w:ilvl="1">
      <w:start w:val="1"/>
      <w:numFmt w:val="bullet"/>
      <w:lvlText w:val="o"/>
      <w:lvlJc w:val="left"/>
      <w:pPr>
        <w:ind w:left="720" w:hanging="360"/>
      </w:pPr>
      <w:rPr>
        <w:rFonts w:ascii="Courier New" w:eastAsia="Courier New" w:hAnsi="Courier New" w:cs="Courier New"/>
      </w:rPr>
    </w:lvl>
    <w:lvl w:ilvl="2">
      <w:start w:val="1"/>
      <w:numFmt w:val="bullet"/>
      <w:lvlText w:val="▪"/>
      <w:lvlJc w:val="left"/>
      <w:pPr>
        <w:ind w:left="1440" w:hanging="360"/>
      </w:pPr>
      <w:rPr>
        <w:rFonts w:ascii="Noto Sans Symbols" w:eastAsia="Noto Sans Symbols" w:hAnsi="Noto Sans Symbols" w:cs="Noto Sans Symbols"/>
      </w:rPr>
    </w:lvl>
    <w:lvl w:ilvl="3">
      <w:start w:val="1"/>
      <w:numFmt w:val="bullet"/>
      <w:lvlText w:val="●"/>
      <w:lvlJc w:val="left"/>
      <w:pPr>
        <w:ind w:left="2160" w:hanging="360"/>
      </w:pPr>
      <w:rPr>
        <w:rFonts w:ascii="Noto Sans Symbols" w:eastAsia="Noto Sans Symbols" w:hAnsi="Noto Sans Symbols" w:cs="Noto Sans Symbols"/>
      </w:rPr>
    </w:lvl>
    <w:lvl w:ilvl="4">
      <w:start w:val="1"/>
      <w:numFmt w:val="bullet"/>
      <w:lvlText w:val="o"/>
      <w:lvlJc w:val="left"/>
      <w:pPr>
        <w:ind w:left="2880" w:hanging="360"/>
      </w:pPr>
      <w:rPr>
        <w:rFonts w:ascii="Courier New" w:eastAsia="Courier New" w:hAnsi="Courier New" w:cs="Courier New"/>
      </w:rPr>
    </w:lvl>
    <w:lvl w:ilvl="5">
      <w:start w:val="1"/>
      <w:numFmt w:val="bullet"/>
      <w:lvlText w:val="▪"/>
      <w:lvlJc w:val="left"/>
      <w:pPr>
        <w:ind w:left="3600" w:hanging="360"/>
      </w:pPr>
      <w:rPr>
        <w:rFonts w:ascii="Noto Sans Symbols" w:eastAsia="Noto Sans Symbols" w:hAnsi="Noto Sans Symbols" w:cs="Noto Sans Symbols"/>
      </w:rPr>
    </w:lvl>
    <w:lvl w:ilvl="6">
      <w:start w:val="1"/>
      <w:numFmt w:val="bullet"/>
      <w:lvlText w:val="●"/>
      <w:lvlJc w:val="left"/>
      <w:pPr>
        <w:ind w:left="4320" w:hanging="360"/>
      </w:pPr>
      <w:rPr>
        <w:rFonts w:ascii="Noto Sans Symbols" w:eastAsia="Noto Sans Symbols" w:hAnsi="Noto Sans Symbols" w:cs="Noto Sans Symbols"/>
      </w:rPr>
    </w:lvl>
    <w:lvl w:ilvl="7">
      <w:start w:val="1"/>
      <w:numFmt w:val="bullet"/>
      <w:lvlText w:val="o"/>
      <w:lvlJc w:val="left"/>
      <w:pPr>
        <w:ind w:left="5040" w:hanging="360"/>
      </w:pPr>
      <w:rPr>
        <w:rFonts w:ascii="Courier New" w:eastAsia="Courier New" w:hAnsi="Courier New" w:cs="Courier New"/>
      </w:rPr>
    </w:lvl>
    <w:lvl w:ilvl="8">
      <w:start w:val="1"/>
      <w:numFmt w:val="bullet"/>
      <w:lvlText w:val="▪"/>
      <w:lvlJc w:val="left"/>
      <w:pPr>
        <w:ind w:left="5760" w:hanging="360"/>
      </w:pPr>
      <w:rPr>
        <w:rFonts w:ascii="Noto Sans Symbols" w:eastAsia="Noto Sans Symbols" w:hAnsi="Noto Sans Symbols" w:cs="Noto Sans Symbols"/>
      </w:rPr>
    </w:lvl>
  </w:abstractNum>
  <w:num w:numId="1">
    <w:abstractNumId w:val="0"/>
  </w:num>
  <w:num w:numId="2">
    <w:abstractNumId w:val="2"/>
  </w:num>
  <w:num w:numId="3">
    <w:abstractNumId w:val="4"/>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69DE"/>
    <w:rsid w:val="00135CE1"/>
    <w:rsid w:val="00645A73"/>
    <w:rsid w:val="007B19A3"/>
    <w:rsid w:val="00D469D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ECC4A7"/>
  <w15:docId w15:val="{0B721C09-F6DF-4E28-95FD-B7891FFBA6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 w:eastAsia="en-US" w:bidi="ar-SA"/>
      </w:rPr>
    </w:rPrDefault>
    <w:pPrDefault>
      <w:pPr>
        <w:widowControl w:val="0"/>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uiPriority w:val="9"/>
    <w:qFormat/>
    <w:pPr>
      <w:keepNext/>
      <w:keepLines/>
      <w:spacing w:before="400" w:after="120" w:line="240" w:lineRule="auto"/>
      <w:outlineLvl w:val="0"/>
    </w:pPr>
    <w:rPr>
      <w:sz w:val="40"/>
      <w:szCs w:val="40"/>
    </w:rPr>
  </w:style>
  <w:style w:type="paragraph" w:styleId="Heading2">
    <w:name w:val="heading 2"/>
    <w:basedOn w:val="Normal"/>
    <w:next w:val="Normal"/>
    <w:uiPriority w:val="9"/>
    <w:semiHidden/>
    <w:unhideWhenUsed/>
    <w:qFormat/>
    <w:pPr>
      <w:keepNext/>
      <w:keepLines/>
      <w:spacing w:before="360" w:after="120" w:line="240" w:lineRule="auto"/>
      <w:outlineLvl w:val="1"/>
    </w:pPr>
    <w:rPr>
      <w:sz w:val="32"/>
      <w:szCs w:val="32"/>
    </w:rPr>
  </w:style>
  <w:style w:type="paragraph" w:styleId="Heading3">
    <w:name w:val="heading 3"/>
    <w:basedOn w:val="Normal"/>
    <w:next w:val="Normal"/>
    <w:uiPriority w:val="9"/>
    <w:semiHidden/>
    <w:unhideWhenUsed/>
    <w:qFormat/>
    <w:pPr>
      <w:keepNext/>
      <w:keepLines/>
      <w:spacing w:before="320" w:after="80" w:line="240" w:lineRule="auto"/>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line="240" w:lineRule="auto"/>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line="240" w:lineRule="auto"/>
      <w:outlineLvl w:val="4"/>
    </w:pPr>
    <w:rPr>
      <w:color w:val="666666"/>
    </w:rPr>
  </w:style>
  <w:style w:type="paragraph" w:styleId="Heading6">
    <w:name w:val="heading 6"/>
    <w:basedOn w:val="Normal"/>
    <w:next w:val="Normal"/>
    <w:uiPriority w:val="9"/>
    <w:semiHidden/>
    <w:unhideWhenUsed/>
    <w:qFormat/>
    <w:pPr>
      <w:keepNext/>
      <w:keepLines/>
      <w:spacing w:before="240" w:after="80" w:line="240" w:lineRule="auto"/>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LO-normal"/>
    <w:next w:val="Normal"/>
    <w:uiPriority w:val="10"/>
    <w:qFormat/>
    <w:pPr>
      <w:keepNext/>
      <w:keepLines/>
      <w:spacing w:after="60"/>
    </w:pPr>
    <w:rPr>
      <w:sz w:val="52"/>
      <w:szCs w:val="52"/>
    </w:rPr>
  </w:style>
  <w:style w:type="character" w:customStyle="1" w:styleId="ListLabel1">
    <w:name w:val="ListLabel 1"/>
    <w:qFormat/>
    <w:rPr>
      <w:sz w:val="20"/>
      <w:u w:val="none"/>
    </w:rPr>
  </w:style>
  <w:style w:type="character" w:customStyle="1" w:styleId="ListLabel2">
    <w:name w:val="ListLabel 2"/>
    <w:qFormat/>
    <w:rPr>
      <w:u w:val="none"/>
    </w:rPr>
  </w:style>
  <w:style w:type="character" w:customStyle="1" w:styleId="ListLabel3">
    <w:name w:val="ListLabel 3"/>
    <w:qFormat/>
    <w:rPr>
      <w:u w:val="none"/>
    </w:rPr>
  </w:style>
  <w:style w:type="character" w:customStyle="1" w:styleId="ListLabel4">
    <w:name w:val="ListLabel 4"/>
    <w:qFormat/>
    <w:rPr>
      <w:u w:val="none"/>
    </w:rPr>
  </w:style>
  <w:style w:type="character" w:customStyle="1" w:styleId="ListLabel5">
    <w:name w:val="ListLabel 5"/>
    <w:qFormat/>
    <w:rPr>
      <w:u w:val="none"/>
    </w:rPr>
  </w:style>
  <w:style w:type="character" w:customStyle="1" w:styleId="ListLabel6">
    <w:name w:val="ListLabel 6"/>
    <w:qFormat/>
    <w:rPr>
      <w:u w:val="none"/>
    </w:rPr>
  </w:style>
  <w:style w:type="character" w:customStyle="1" w:styleId="ListLabel7">
    <w:name w:val="ListLabel 7"/>
    <w:qFormat/>
    <w:rPr>
      <w:u w:val="none"/>
    </w:rPr>
  </w:style>
  <w:style w:type="character" w:customStyle="1" w:styleId="ListLabel8">
    <w:name w:val="ListLabel 8"/>
    <w:qFormat/>
    <w:rPr>
      <w:u w:val="none"/>
    </w:rPr>
  </w:style>
  <w:style w:type="character" w:customStyle="1" w:styleId="ListLabel9">
    <w:name w:val="ListLabel 9"/>
    <w:qFormat/>
    <w:rPr>
      <w:u w:val="none"/>
    </w:rPr>
  </w:style>
  <w:style w:type="character" w:customStyle="1" w:styleId="ListLabel10">
    <w:name w:val="ListLabel 10"/>
    <w:qFormat/>
    <w:rPr>
      <w:sz w:val="20"/>
      <w:u w:val="none"/>
    </w:rPr>
  </w:style>
  <w:style w:type="character" w:customStyle="1" w:styleId="ListLabel11">
    <w:name w:val="ListLabel 11"/>
    <w:qFormat/>
    <w:rPr>
      <w:u w:val="none"/>
    </w:rPr>
  </w:style>
  <w:style w:type="character" w:customStyle="1" w:styleId="ListLabel12">
    <w:name w:val="ListLabel 12"/>
    <w:qFormat/>
    <w:rPr>
      <w:u w:val="none"/>
    </w:rPr>
  </w:style>
  <w:style w:type="character" w:customStyle="1" w:styleId="ListLabel13">
    <w:name w:val="ListLabel 13"/>
    <w:qFormat/>
    <w:rPr>
      <w:u w:val="none"/>
    </w:rPr>
  </w:style>
  <w:style w:type="character" w:customStyle="1" w:styleId="ListLabel14">
    <w:name w:val="ListLabel 14"/>
    <w:qFormat/>
    <w:rPr>
      <w:u w:val="none"/>
    </w:rPr>
  </w:style>
  <w:style w:type="character" w:customStyle="1" w:styleId="ListLabel15">
    <w:name w:val="ListLabel 15"/>
    <w:qFormat/>
    <w:rPr>
      <w:u w:val="none"/>
    </w:rPr>
  </w:style>
  <w:style w:type="character" w:customStyle="1" w:styleId="ListLabel16">
    <w:name w:val="ListLabel 16"/>
    <w:qFormat/>
    <w:rPr>
      <w:u w:val="none"/>
    </w:rPr>
  </w:style>
  <w:style w:type="character" w:customStyle="1" w:styleId="ListLabel17">
    <w:name w:val="ListLabel 17"/>
    <w:qFormat/>
    <w:rPr>
      <w:u w:val="none"/>
    </w:rPr>
  </w:style>
  <w:style w:type="character" w:customStyle="1" w:styleId="ListLabel18">
    <w:name w:val="ListLabel 18"/>
    <w:qFormat/>
    <w:rPr>
      <w:u w:val="none"/>
    </w:rPr>
  </w:style>
  <w:style w:type="character" w:customStyle="1" w:styleId="ListLabel19">
    <w:name w:val="ListLabel 19"/>
    <w:qFormat/>
    <w:rPr>
      <w:sz w:val="20"/>
      <w:u w:val="none"/>
    </w:rPr>
  </w:style>
  <w:style w:type="character" w:customStyle="1" w:styleId="ListLabel20">
    <w:name w:val="ListLabel 20"/>
    <w:qFormat/>
    <w:rPr>
      <w:u w:val="none"/>
    </w:rPr>
  </w:style>
  <w:style w:type="character" w:customStyle="1" w:styleId="ListLabel21">
    <w:name w:val="ListLabel 21"/>
    <w:qFormat/>
    <w:rPr>
      <w:u w:val="none"/>
    </w:rPr>
  </w:style>
  <w:style w:type="character" w:customStyle="1" w:styleId="ListLabel22">
    <w:name w:val="ListLabel 22"/>
    <w:qFormat/>
    <w:rPr>
      <w:u w:val="none"/>
    </w:rPr>
  </w:style>
  <w:style w:type="character" w:customStyle="1" w:styleId="ListLabel23">
    <w:name w:val="ListLabel 23"/>
    <w:qFormat/>
    <w:rPr>
      <w:u w:val="none"/>
    </w:rPr>
  </w:style>
  <w:style w:type="character" w:customStyle="1" w:styleId="ListLabel24">
    <w:name w:val="ListLabel 24"/>
    <w:qFormat/>
    <w:rPr>
      <w:u w:val="none"/>
    </w:rPr>
  </w:style>
  <w:style w:type="character" w:customStyle="1" w:styleId="ListLabel25">
    <w:name w:val="ListLabel 25"/>
    <w:qFormat/>
    <w:rPr>
      <w:u w:val="none"/>
    </w:rPr>
  </w:style>
  <w:style w:type="character" w:customStyle="1" w:styleId="ListLabel26">
    <w:name w:val="ListLabel 26"/>
    <w:qFormat/>
    <w:rPr>
      <w:u w:val="none"/>
    </w:rPr>
  </w:style>
  <w:style w:type="character" w:customStyle="1" w:styleId="ListLabel27">
    <w:name w:val="ListLabel 27"/>
    <w:qFormat/>
    <w:rPr>
      <w:u w:val="none"/>
    </w:rPr>
  </w:style>
  <w:style w:type="character" w:customStyle="1" w:styleId="FootnoteCharacters">
    <w:name w:val="Footnote Characters"/>
    <w:qFormat/>
  </w:style>
  <w:style w:type="character" w:customStyle="1" w:styleId="FootnoteAnchor">
    <w:name w:val="Footnote Anchor"/>
    <w:rPr>
      <w:vertAlign w:val="superscript"/>
    </w:rPr>
  </w:style>
  <w:style w:type="character" w:customStyle="1" w:styleId="EndnoteAnchor">
    <w:name w:val="Endnote Anchor"/>
    <w:rPr>
      <w:vertAlign w:val="superscript"/>
    </w:rPr>
  </w:style>
  <w:style w:type="character" w:customStyle="1" w:styleId="EndnoteCharacters">
    <w:name w:val="Endnote Characters"/>
    <w:qFormat/>
  </w:style>
  <w:style w:type="character" w:customStyle="1" w:styleId="ListLabel28">
    <w:name w:val="ListLabel 28"/>
    <w:qFormat/>
    <w:rPr>
      <w:rFonts w:cs="OpenSymbol"/>
      <w:sz w:val="20"/>
      <w:u w:val="none"/>
    </w:rPr>
  </w:style>
  <w:style w:type="character" w:customStyle="1" w:styleId="ListLabel29">
    <w:name w:val="ListLabel 29"/>
    <w:qFormat/>
    <w:rPr>
      <w:rFonts w:cs="OpenSymbol"/>
      <w:u w:val="none"/>
    </w:rPr>
  </w:style>
  <w:style w:type="character" w:customStyle="1" w:styleId="ListLabel30">
    <w:name w:val="ListLabel 30"/>
    <w:qFormat/>
    <w:rPr>
      <w:rFonts w:cs="OpenSymbol"/>
      <w:u w:val="none"/>
    </w:rPr>
  </w:style>
  <w:style w:type="character" w:customStyle="1" w:styleId="ListLabel31">
    <w:name w:val="ListLabel 31"/>
    <w:qFormat/>
    <w:rPr>
      <w:rFonts w:cs="OpenSymbol"/>
      <w:u w:val="none"/>
    </w:rPr>
  </w:style>
  <w:style w:type="character" w:customStyle="1" w:styleId="ListLabel32">
    <w:name w:val="ListLabel 32"/>
    <w:qFormat/>
    <w:rPr>
      <w:rFonts w:cs="OpenSymbol"/>
      <w:u w:val="none"/>
    </w:rPr>
  </w:style>
  <w:style w:type="character" w:customStyle="1" w:styleId="ListLabel33">
    <w:name w:val="ListLabel 33"/>
    <w:qFormat/>
    <w:rPr>
      <w:rFonts w:cs="OpenSymbol"/>
      <w:u w:val="none"/>
    </w:rPr>
  </w:style>
  <w:style w:type="character" w:customStyle="1" w:styleId="ListLabel34">
    <w:name w:val="ListLabel 34"/>
    <w:qFormat/>
    <w:rPr>
      <w:rFonts w:cs="OpenSymbol"/>
      <w:u w:val="none"/>
    </w:rPr>
  </w:style>
  <w:style w:type="character" w:customStyle="1" w:styleId="ListLabel35">
    <w:name w:val="ListLabel 35"/>
    <w:qFormat/>
    <w:rPr>
      <w:rFonts w:cs="OpenSymbol"/>
      <w:u w:val="none"/>
    </w:rPr>
  </w:style>
  <w:style w:type="character" w:customStyle="1" w:styleId="ListLabel36">
    <w:name w:val="ListLabel 36"/>
    <w:qFormat/>
    <w:rPr>
      <w:rFonts w:cs="OpenSymbol"/>
      <w:u w:val="none"/>
    </w:rPr>
  </w:style>
  <w:style w:type="character" w:customStyle="1" w:styleId="ListLabel37">
    <w:name w:val="ListLabel 37"/>
    <w:qFormat/>
    <w:rPr>
      <w:rFonts w:cs="OpenSymbol"/>
      <w:sz w:val="20"/>
      <w:u w:val="none"/>
    </w:rPr>
  </w:style>
  <w:style w:type="character" w:customStyle="1" w:styleId="ListLabel38">
    <w:name w:val="ListLabel 38"/>
    <w:qFormat/>
    <w:rPr>
      <w:rFonts w:cs="OpenSymbol"/>
      <w:u w:val="none"/>
    </w:rPr>
  </w:style>
  <w:style w:type="character" w:customStyle="1" w:styleId="ListLabel39">
    <w:name w:val="ListLabel 39"/>
    <w:qFormat/>
    <w:rPr>
      <w:rFonts w:cs="OpenSymbol"/>
      <w:u w:val="none"/>
    </w:rPr>
  </w:style>
  <w:style w:type="character" w:customStyle="1" w:styleId="ListLabel40">
    <w:name w:val="ListLabel 40"/>
    <w:qFormat/>
    <w:rPr>
      <w:rFonts w:cs="OpenSymbol"/>
      <w:u w:val="none"/>
    </w:rPr>
  </w:style>
  <w:style w:type="character" w:customStyle="1" w:styleId="ListLabel41">
    <w:name w:val="ListLabel 41"/>
    <w:qFormat/>
    <w:rPr>
      <w:rFonts w:cs="OpenSymbol"/>
      <w:u w:val="none"/>
    </w:rPr>
  </w:style>
  <w:style w:type="character" w:customStyle="1" w:styleId="ListLabel42">
    <w:name w:val="ListLabel 42"/>
    <w:qFormat/>
    <w:rPr>
      <w:rFonts w:cs="OpenSymbol"/>
      <w:u w:val="none"/>
    </w:rPr>
  </w:style>
  <w:style w:type="character" w:customStyle="1" w:styleId="ListLabel43">
    <w:name w:val="ListLabel 43"/>
    <w:qFormat/>
    <w:rPr>
      <w:rFonts w:cs="OpenSymbol"/>
      <w:u w:val="none"/>
    </w:rPr>
  </w:style>
  <w:style w:type="character" w:customStyle="1" w:styleId="ListLabel44">
    <w:name w:val="ListLabel 44"/>
    <w:qFormat/>
    <w:rPr>
      <w:rFonts w:cs="OpenSymbol"/>
      <w:u w:val="none"/>
    </w:rPr>
  </w:style>
  <w:style w:type="character" w:customStyle="1" w:styleId="ListLabel45">
    <w:name w:val="ListLabel 45"/>
    <w:qFormat/>
    <w:rPr>
      <w:rFonts w:cs="OpenSymbol"/>
      <w:u w:val="none"/>
    </w:rPr>
  </w:style>
  <w:style w:type="character" w:customStyle="1" w:styleId="ListLabel46">
    <w:name w:val="ListLabel 46"/>
    <w:qFormat/>
    <w:rPr>
      <w:rFonts w:cs="OpenSymbol"/>
      <w:sz w:val="20"/>
      <w:u w:val="none"/>
    </w:rPr>
  </w:style>
  <w:style w:type="character" w:customStyle="1" w:styleId="ListLabel47">
    <w:name w:val="ListLabel 47"/>
    <w:qFormat/>
    <w:rPr>
      <w:rFonts w:cs="OpenSymbol"/>
      <w:u w:val="none"/>
    </w:rPr>
  </w:style>
  <w:style w:type="character" w:customStyle="1" w:styleId="ListLabel48">
    <w:name w:val="ListLabel 48"/>
    <w:qFormat/>
    <w:rPr>
      <w:rFonts w:cs="OpenSymbol"/>
      <w:u w:val="none"/>
    </w:rPr>
  </w:style>
  <w:style w:type="character" w:customStyle="1" w:styleId="ListLabel49">
    <w:name w:val="ListLabel 49"/>
    <w:qFormat/>
    <w:rPr>
      <w:rFonts w:cs="OpenSymbol"/>
      <w:u w:val="none"/>
    </w:rPr>
  </w:style>
  <w:style w:type="character" w:customStyle="1" w:styleId="ListLabel50">
    <w:name w:val="ListLabel 50"/>
    <w:qFormat/>
    <w:rPr>
      <w:rFonts w:cs="OpenSymbol"/>
      <w:u w:val="none"/>
    </w:rPr>
  </w:style>
  <w:style w:type="character" w:customStyle="1" w:styleId="ListLabel51">
    <w:name w:val="ListLabel 51"/>
    <w:qFormat/>
    <w:rPr>
      <w:rFonts w:cs="OpenSymbol"/>
      <w:u w:val="none"/>
    </w:rPr>
  </w:style>
  <w:style w:type="character" w:customStyle="1" w:styleId="ListLabel52">
    <w:name w:val="ListLabel 52"/>
    <w:qFormat/>
    <w:rPr>
      <w:rFonts w:cs="OpenSymbol"/>
      <w:u w:val="none"/>
    </w:rPr>
  </w:style>
  <w:style w:type="character" w:customStyle="1" w:styleId="ListLabel53">
    <w:name w:val="ListLabel 53"/>
    <w:qFormat/>
    <w:rPr>
      <w:rFonts w:cs="OpenSymbol"/>
      <w:u w:val="none"/>
    </w:rPr>
  </w:style>
  <w:style w:type="character" w:customStyle="1" w:styleId="ListLabel54">
    <w:name w:val="ListLabel 54"/>
    <w:qFormat/>
    <w:rPr>
      <w:rFonts w:cs="OpenSymbol"/>
      <w:u w:val="none"/>
    </w:rPr>
  </w:style>
  <w:style w:type="character" w:customStyle="1" w:styleId="ListLabel55">
    <w:name w:val="ListLabel 55"/>
    <w:qFormat/>
    <w:rPr>
      <w:rFonts w:cs="OpenSymbol"/>
      <w:sz w:val="20"/>
      <w:u w:val="none"/>
    </w:rPr>
  </w:style>
  <w:style w:type="character" w:customStyle="1" w:styleId="ListLabel56">
    <w:name w:val="ListLabel 56"/>
    <w:qFormat/>
    <w:rPr>
      <w:rFonts w:cs="OpenSymbol"/>
      <w:u w:val="none"/>
    </w:rPr>
  </w:style>
  <w:style w:type="character" w:customStyle="1" w:styleId="ListLabel57">
    <w:name w:val="ListLabel 57"/>
    <w:qFormat/>
    <w:rPr>
      <w:rFonts w:cs="OpenSymbol"/>
      <w:u w:val="none"/>
    </w:rPr>
  </w:style>
  <w:style w:type="character" w:customStyle="1" w:styleId="ListLabel58">
    <w:name w:val="ListLabel 58"/>
    <w:qFormat/>
    <w:rPr>
      <w:rFonts w:cs="OpenSymbol"/>
      <w:u w:val="none"/>
    </w:rPr>
  </w:style>
  <w:style w:type="character" w:customStyle="1" w:styleId="ListLabel59">
    <w:name w:val="ListLabel 59"/>
    <w:qFormat/>
    <w:rPr>
      <w:rFonts w:cs="OpenSymbol"/>
      <w:u w:val="none"/>
    </w:rPr>
  </w:style>
  <w:style w:type="character" w:customStyle="1" w:styleId="ListLabel60">
    <w:name w:val="ListLabel 60"/>
    <w:qFormat/>
    <w:rPr>
      <w:rFonts w:cs="OpenSymbol"/>
      <w:u w:val="none"/>
    </w:rPr>
  </w:style>
  <w:style w:type="character" w:customStyle="1" w:styleId="ListLabel61">
    <w:name w:val="ListLabel 61"/>
    <w:qFormat/>
    <w:rPr>
      <w:rFonts w:cs="OpenSymbol"/>
      <w:u w:val="none"/>
    </w:rPr>
  </w:style>
  <w:style w:type="character" w:customStyle="1" w:styleId="ListLabel62">
    <w:name w:val="ListLabel 62"/>
    <w:qFormat/>
    <w:rPr>
      <w:rFonts w:cs="OpenSymbol"/>
      <w:u w:val="none"/>
    </w:rPr>
  </w:style>
  <w:style w:type="character" w:customStyle="1" w:styleId="ListLabel63">
    <w:name w:val="ListLabel 63"/>
    <w:qFormat/>
    <w:rPr>
      <w:rFonts w:cs="OpenSymbol"/>
      <w:u w:val="none"/>
    </w:rPr>
  </w:style>
  <w:style w:type="character" w:customStyle="1" w:styleId="ListLabel64">
    <w:name w:val="ListLabel 64"/>
    <w:qFormat/>
    <w:rPr>
      <w:rFonts w:cs="OpenSymbol"/>
      <w:sz w:val="20"/>
      <w:u w:val="none"/>
    </w:rPr>
  </w:style>
  <w:style w:type="character" w:customStyle="1" w:styleId="ListLabel65">
    <w:name w:val="ListLabel 65"/>
    <w:qFormat/>
    <w:rPr>
      <w:rFonts w:cs="OpenSymbol"/>
      <w:u w:val="none"/>
    </w:rPr>
  </w:style>
  <w:style w:type="character" w:customStyle="1" w:styleId="ListLabel66">
    <w:name w:val="ListLabel 66"/>
    <w:qFormat/>
    <w:rPr>
      <w:rFonts w:cs="OpenSymbol"/>
      <w:u w:val="none"/>
    </w:rPr>
  </w:style>
  <w:style w:type="character" w:customStyle="1" w:styleId="ListLabel67">
    <w:name w:val="ListLabel 67"/>
    <w:qFormat/>
    <w:rPr>
      <w:rFonts w:cs="OpenSymbol"/>
      <w:u w:val="none"/>
    </w:rPr>
  </w:style>
  <w:style w:type="character" w:customStyle="1" w:styleId="ListLabel68">
    <w:name w:val="ListLabel 68"/>
    <w:qFormat/>
    <w:rPr>
      <w:rFonts w:cs="OpenSymbol"/>
      <w:u w:val="none"/>
    </w:rPr>
  </w:style>
  <w:style w:type="character" w:customStyle="1" w:styleId="ListLabel69">
    <w:name w:val="ListLabel 69"/>
    <w:qFormat/>
    <w:rPr>
      <w:rFonts w:cs="OpenSymbol"/>
      <w:u w:val="none"/>
    </w:rPr>
  </w:style>
  <w:style w:type="character" w:customStyle="1" w:styleId="ListLabel70">
    <w:name w:val="ListLabel 70"/>
    <w:qFormat/>
    <w:rPr>
      <w:rFonts w:cs="OpenSymbol"/>
      <w:u w:val="none"/>
    </w:rPr>
  </w:style>
  <w:style w:type="character" w:customStyle="1" w:styleId="ListLabel71">
    <w:name w:val="ListLabel 71"/>
    <w:qFormat/>
    <w:rPr>
      <w:rFonts w:cs="OpenSymbol"/>
      <w:u w:val="none"/>
    </w:rPr>
  </w:style>
  <w:style w:type="character" w:customStyle="1" w:styleId="ListLabel72">
    <w:name w:val="ListLabel 72"/>
    <w:qFormat/>
    <w:rPr>
      <w:rFonts w:cs="OpenSymbol"/>
      <w:u w:val="none"/>
    </w:rPr>
  </w:style>
  <w:style w:type="character" w:customStyle="1" w:styleId="ListLabel73">
    <w:name w:val="ListLabel 73"/>
    <w:qFormat/>
    <w:rPr>
      <w:rFonts w:cs="OpenSymbol"/>
      <w:sz w:val="20"/>
      <w:u w:val="none"/>
    </w:rPr>
  </w:style>
  <w:style w:type="character" w:customStyle="1" w:styleId="ListLabel74">
    <w:name w:val="ListLabel 74"/>
    <w:qFormat/>
    <w:rPr>
      <w:rFonts w:cs="OpenSymbol"/>
      <w:u w:val="none"/>
    </w:rPr>
  </w:style>
  <w:style w:type="character" w:customStyle="1" w:styleId="ListLabel75">
    <w:name w:val="ListLabel 75"/>
    <w:qFormat/>
    <w:rPr>
      <w:rFonts w:cs="OpenSymbol"/>
      <w:u w:val="none"/>
    </w:rPr>
  </w:style>
  <w:style w:type="character" w:customStyle="1" w:styleId="ListLabel76">
    <w:name w:val="ListLabel 76"/>
    <w:qFormat/>
    <w:rPr>
      <w:rFonts w:cs="OpenSymbol"/>
      <w:u w:val="none"/>
    </w:rPr>
  </w:style>
  <w:style w:type="character" w:customStyle="1" w:styleId="ListLabel77">
    <w:name w:val="ListLabel 77"/>
    <w:qFormat/>
    <w:rPr>
      <w:rFonts w:cs="OpenSymbol"/>
      <w:u w:val="none"/>
    </w:rPr>
  </w:style>
  <w:style w:type="character" w:customStyle="1" w:styleId="ListLabel78">
    <w:name w:val="ListLabel 78"/>
    <w:qFormat/>
    <w:rPr>
      <w:rFonts w:cs="OpenSymbol"/>
      <w:u w:val="none"/>
    </w:rPr>
  </w:style>
  <w:style w:type="character" w:customStyle="1" w:styleId="ListLabel79">
    <w:name w:val="ListLabel 79"/>
    <w:qFormat/>
    <w:rPr>
      <w:rFonts w:cs="OpenSymbol"/>
      <w:u w:val="none"/>
    </w:rPr>
  </w:style>
  <w:style w:type="character" w:customStyle="1" w:styleId="ListLabel80">
    <w:name w:val="ListLabel 80"/>
    <w:qFormat/>
    <w:rPr>
      <w:rFonts w:cs="OpenSymbol"/>
      <w:u w:val="none"/>
    </w:rPr>
  </w:style>
  <w:style w:type="character" w:customStyle="1" w:styleId="ListLabel81">
    <w:name w:val="ListLabel 81"/>
    <w:qFormat/>
    <w:rPr>
      <w:rFonts w:cs="OpenSymbol"/>
      <w:u w:val="none"/>
    </w:rPr>
  </w:style>
  <w:style w:type="character" w:customStyle="1" w:styleId="ListLabel82">
    <w:name w:val="ListLabel 82"/>
    <w:qFormat/>
    <w:rPr>
      <w:rFonts w:cs="OpenSymbol"/>
      <w:sz w:val="20"/>
      <w:u w:val="none"/>
    </w:rPr>
  </w:style>
  <w:style w:type="character" w:customStyle="1" w:styleId="ListLabel83">
    <w:name w:val="ListLabel 83"/>
    <w:qFormat/>
    <w:rPr>
      <w:rFonts w:cs="OpenSymbol"/>
      <w:u w:val="none"/>
    </w:rPr>
  </w:style>
  <w:style w:type="character" w:customStyle="1" w:styleId="ListLabel84">
    <w:name w:val="ListLabel 84"/>
    <w:qFormat/>
    <w:rPr>
      <w:rFonts w:cs="OpenSymbol"/>
      <w:u w:val="none"/>
    </w:rPr>
  </w:style>
  <w:style w:type="character" w:customStyle="1" w:styleId="ListLabel85">
    <w:name w:val="ListLabel 85"/>
    <w:qFormat/>
    <w:rPr>
      <w:rFonts w:cs="OpenSymbol"/>
      <w:u w:val="none"/>
    </w:rPr>
  </w:style>
  <w:style w:type="character" w:customStyle="1" w:styleId="ListLabel86">
    <w:name w:val="ListLabel 86"/>
    <w:qFormat/>
    <w:rPr>
      <w:rFonts w:cs="OpenSymbol"/>
      <w:u w:val="none"/>
    </w:rPr>
  </w:style>
  <w:style w:type="character" w:customStyle="1" w:styleId="ListLabel87">
    <w:name w:val="ListLabel 87"/>
    <w:qFormat/>
    <w:rPr>
      <w:rFonts w:cs="OpenSymbol"/>
      <w:u w:val="none"/>
    </w:rPr>
  </w:style>
  <w:style w:type="character" w:customStyle="1" w:styleId="ListLabel88">
    <w:name w:val="ListLabel 88"/>
    <w:qFormat/>
    <w:rPr>
      <w:rFonts w:cs="OpenSymbol"/>
      <w:u w:val="none"/>
    </w:rPr>
  </w:style>
  <w:style w:type="character" w:customStyle="1" w:styleId="ListLabel89">
    <w:name w:val="ListLabel 89"/>
    <w:qFormat/>
    <w:rPr>
      <w:rFonts w:cs="OpenSymbol"/>
      <w:u w:val="none"/>
    </w:rPr>
  </w:style>
  <w:style w:type="character" w:customStyle="1" w:styleId="ListLabel90">
    <w:name w:val="ListLabel 90"/>
    <w:qFormat/>
    <w:rPr>
      <w:rFonts w:cs="OpenSymbol"/>
      <w:u w:val="none"/>
    </w:rPr>
  </w:style>
  <w:style w:type="character" w:customStyle="1" w:styleId="ListLabel91">
    <w:name w:val="ListLabel 91"/>
    <w:qFormat/>
    <w:rPr>
      <w:rFonts w:cs="OpenSymbol"/>
      <w:sz w:val="20"/>
      <w:u w:val="none"/>
    </w:rPr>
  </w:style>
  <w:style w:type="character" w:customStyle="1" w:styleId="ListLabel92">
    <w:name w:val="ListLabel 92"/>
    <w:qFormat/>
    <w:rPr>
      <w:rFonts w:cs="OpenSymbol"/>
      <w:u w:val="none"/>
    </w:rPr>
  </w:style>
  <w:style w:type="character" w:customStyle="1" w:styleId="ListLabel93">
    <w:name w:val="ListLabel 93"/>
    <w:qFormat/>
    <w:rPr>
      <w:rFonts w:cs="OpenSymbol"/>
      <w:u w:val="none"/>
    </w:rPr>
  </w:style>
  <w:style w:type="character" w:customStyle="1" w:styleId="ListLabel94">
    <w:name w:val="ListLabel 94"/>
    <w:qFormat/>
    <w:rPr>
      <w:rFonts w:cs="OpenSymbol"/>
      <w:u w:val="none"/>
    </w:rPr>
  </w:style>
  <w:style w:type="character" w:customStyle="1" w:styleId="ListLabel95">
    <w:name w:val="ListLabel 95"/>
    <w:qFormat/>
    <w:rPr>
      <w:rFonts w:cs="OpenSymbol"/>
      <w:u w:val="none"/>
    </w:rPr>
  </w:style>
  <w:style w:type="character" w:customStyle="1" w:styleId="ListLabel96">
    <w:name w:val="ListLabel 96"/>
    <w:qFormat/>
    <w:rPr>
      <w:rFonts w:cs="OpenSymbol"/>
      <w:u w:val="none"/>
    </w:rPr>
  </w:style>
  <w:style w:type="character" w:customStyle="1" w:styleId="ListLabel97">
    <w:name w:val="ListLabel 97"/>
    <w:qFormat/>
    <w:rPr>
      <w:rFonts w:cs="OpenSymbol"/>
      <w:u w:val="none"/>
    </w:rPr>
  </w:style>
  <w:style w:type="character" w:customStyle="1" w:styleId="ListLabel98">
    <w:name w:val="ListLabel 98"/>
    <w:qFormat/>
    <w:rPr>
      <w:rFonts w:cs="OpenSymbol"/>
      <w:u w:val="none"/>
    </w:rPr>
  </w:style>
  <w:style w:type="character" w:customStyle="1" w:styleId="ListLabel99">
    <w:name w:val="ListLabel 99"/>
    <w:qFormat/>
    <w:rPr>
      <w:rFonts w:cs="OpenSymbol"/>
      <w:u w:val="none"/>
    </w:rPr>
  </w:style>
  <w:style w:type="character" w:customStyle="1" w:styleId="ListLabel100">
    <w:name w:val="ListLabel 100"/>
    <w:qFormat/>
    <w:rPr>
      <w:rFonts w:cs="OpenSymbol"/>
      <w:sz w:val="20"/>
      <w:u w:val="none"/>
    </w:rPr>
  </w:style>
  <w:style w:type="character" w:customStyle="1" w:styleId="ListLabel101">
    <w:name w:val="ListLabel 101"/>
    <w:qFormat/>
    <w:rPr>
      <w:rFonts w:cs="OpenSymbol"/>
      <w:u w:val="none"/>
    </w:rPr>
  </w:style>
  <w:style w:type="character" w:customStyle="1" w:styleId="ListLabel102">
    <w:name w:val="ListLabel 102"/>
    <w:qFormat/>
    <w:rPr>
      <w:rFonts w:cs="OpenSymbol"/>
      <w:u w:val="none"/>
    </w:rPr>
  </w:style>
  <w:style w:type="character" w:customStyle="1" w:styleId="ListLabel103">
    <w:name w:val="ListLabel 103"/>
    <w:qFormat/>
    <w:rPr>
      <w:rFonts w:cs="OpenSymbol"/>
      <w:u w:val="none"/>
    </w:rPr>
  </w:style>
  <w:style w:type="character" w:customStyle="1" w:styleId="ListLabel104">
    <w:name w:val="ListLabel 104"/>
    <w:qFormat/>
    <w:rPr>
      <w:rFonts w:cs="OpenSymbol"/>
      <w:u w:val="none"/>
    </w:rPr>
  </w:style>
  <w:style w:type="character" w:customStyle="1" w:styleId="ListLabel105">
    <w:name w:val="ListLabel 105"/>
    <w:qFormat/>
    <w:rPr>
      <w:rFonts w:cs="OpenSymbol"/>
      <w:u w:val="none"/>
    </w:rPr>
  </w:style>
  <w:style w:type="character" w:customStyle="1" w:styleId="ListLabel106">
    <w:name w:val="ListLabel 106"/>
    <w:qFormat/>
    <w:rPr>
      <w:rFonts w:cs="OpenSymbol"/>
      <w:u w:val="none"/>
    </w:rPr>
  </w:style>
  <w:style w:type="character" w:customStyle="1" w:styleId="ListLabel107">
    <w:name w:val="ListLabel 107"/>
    <w:qFormat/>
    <w:rPr>
      <w:rFonts w:cs="OpenSymbol"/>
      <w:u w:val="none"/>
    </w:rPr>
  </w:style>
  <w:style w:type="character" w:customStyle="1" w:styleId="ListLabel108">
    <w:name w:val="ListLabel 108"/>
    <w:qFormat/>
    <w:rPr>
      <w:rFonts w:cs="OpenSymbol"/>
      <w:u w:val="none"/>
    </w:rPr>
  </w:style>
  <w:style w:type="character" w:customStyle="1" w:styleId="InternetLink">
    <w:name w:val="Internet Link"/>
    <w:rPr>
      <w:color w:val="000080"/>
      <w:u w:val="single"/>
    </w:rPr>
  </w:style>
  <w:style w:type="paragraph" w:customStyle="1" w:styleId="Heading">
    <w:name w:val="Heading"/>
    <w:basedOn w:val="Normal"/>
    <w:next w:val="BodyText"/>
    <w:qFormat/>
    <w:pPr>
      <w:keepNext/>
      <w:spacing w:before="240" w:after="120"/>
    </w:pPr>
    <w:rPr>
      <w:rFonts w:ascii="Liberation Sans" w:eastAsia="Noto Sans CJK SC" w:hAnsi="Liberation Sans" w:cs="Lohit Devanagari"/>
      <w:sz w:val="28"/>
      <w:szCs w:val="28"/>
    </w:rPr>
  </w:style>
  <w:style w:type="paragraph" w:styleId="BodyText">
    <w:name w:val="Body Text"/>
    <w:basedOn w:val="Normal"/>
    <w:pPr>
      <w:spacing w:after="140"/>
    </w:pPr>
  </w:style>
  <w:style w:type="paragraph" w:styleId="List">
    <w:name w:val="List"/>
    <w:basedOn w:val="BodyText"/>
    <w:rPr>
      <w:rFonts w:cs="Lohit Devanagari"/>
    </w:rPr>
  </w:style>
  <w:style w:type="paragraph" w:styleId="Caption">
    <w:name w:val="caption"/>
    <w:basedOn w:val="Normal"/>
    <w:qFormat/>
    <w:pPr>
      <w:suppressLineNumbers/>
      <w:spacing w:before="120" w:after="120"/>
    </w:pPr>
    <w:rPr>
      <w:rFonts w:cs="Lohit Devanagari"/>
      <w:i/>
      <w:iCs/>
      <w:sz w:val="24"/>
      <w:szCs w:val="24"/>
    </w:rPr>
  </w:style>
  <w:style w:type="paragraph" w:customStyle="1" w:styleId="Index">
    <w:name w:val="Index"/>
    <w:basedOn w:val="Normal"/>
    <w:qFormat/>
    <w:pPr>
      <w:suppressLineNumbers/>
    </w:pPr>
    <w:rPr>
      <w:rFonts w:cs="Lohit Devanagari"/>
    </w:rPr>
  </w:style>
  <w:style w:type="paragraph" w:customStyle="1" w:styleId="LO-normal">
    <w:name w:val="LO-normal"/>
    <w:qFormat/>
  </w:style>
  <w:style w:type="paragraph" w:styleId="Subtitle">
    <w:name w:val="Subtitle"/>
    <w:basedOn w:val="Normal"/>
    <w:next w:val="Normal"/>
    <w:pPr>
      <w:keepNext/>
      <w:keepLines/>
      <w:widowControl/>
      <w:pBdr>
        <w:top w:val="nil"/>
        <w:left w:val="nil"/>
        <w:bottom w:val="nil"/>
        <w:right w:val="nil"/>
        <w:between w:val="nil"/>
      </w:pBdr>
      <w:spacing w:after="320" w:line="240" w:lineRule="auto"/>
    </w:pPr>
    <w:rPr>
      <w:color w:val="666666"/>
      <w:sz w:val="30"/>
      <w:szCs w:val="30"/>
    </w:rPr>
  </w:style>
  <w:style w:type="paragraph" w:styleId="FootnoteText">
    <w:name w:val="footnote text"/>
    <w:basedOn w:val="Normal"/>
  </w:style>
  <w:style w:type="paragraph" w:styleId="Header">
    <w:name w:val="header"/>
    <w:basedOn w:val="Normal"/>
  </w:style>
  <w:style w:type="paragraph" w:styleId="ListParagraph">
    <w:name w:val="List Paragraph"/>
    <w:basedOn w:val="Normal"/>
    <w:uiPriority w:val="34"/>
    <w:qFormat/>
    <w:rsid w:val="00F91B3C"/>
    <w:pPr>
      <w:ind w:left="720"/>
      <w:contextualSpacing/>
    </w:pPr>
    <w:rPr>
      <w:rFonts w:cs="Mangal"/>
      <w:szCs w:val="20"/>
    </w:rPr>
  </w:style>
  <w:style w:type="paragraph" w:styleId="NoSpacing">
    <w:name w:val="No Spacing"/>
    <w:uiPriority w:val="1"/>
    <w:qFormat/>
    <w:rsid w:val="00FC3472"/>
    <w:pPr>
      <w:bidi/>
    </w:pPr>
    <w:rPr>
      <w:rFonts w:asciiTheme="minorHAnsi" w:eastAsiaTheme="minorHAnsi" w:hAnsiTheme="minorHAnsi" w:cstheme="minorBidi"/>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5V8I6Nz0Dknv3KORAWFfHxXGRaw==">AMUW2mXxYO+S8jvPPzAdkleQA4G6WA+FGkNbHP+ESmFXNbMSdrvDwWUYV7pqy7HLlaN7LOo/tFZtSzKkRz8iRSMIc3Osyu7f979s3TClpF2pdRD0mQr9EhDCWW65wrdgwBVLAnpb6KRG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1604</Words>
  <Characters>9149</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Hussien</dc:creator>
  <cp:lastModifiedBy>Hussien</cp:lastModifiedBy>
  <cp:revision>2</cp:revision>
  <cp:lastPrinted>2021-08-24T09:03:00Z</cp:lastPrinted>
  <dcterms:created xsi:type="dcterms:W3CDTF">2021-08-24T09:24:00Z</dcterms:created>
  <dcterms:modified xsi:type="dcterms:W3CDTF">2021-08-24T09:24:00Z</dcterms:modified>
</cp:coreProperties>
</file>