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6B" w:rsidRPr="009814E1" w:rsidRDefault="000E448C" w:rsidP="000E448C">
      <w:pPr>
        <w:bidi w:val="0"/>
        <w:spacing w:line="240" w:lineRule="auto"/>
        <w:jc w:val="center"/>
        <w:rPr>
          <w:rFonts w:asciiTheme="majorHAnsi" w:eastAsia="Times New Roman" w:hAnsiTheme="majorHAnsi" w:cs="Times New Roman"/>
          <w:b/>
          <w:bCs/>
          <w:sz w:val="40"/>
          <w:szCs w:val="40"/>
        </w:rPr>
      </w:pPr>
      <w:r w:rsidRPr="009814E1">
        <w:rPr>
          <w:rFonts w:asciiTheme="majorHAnsi" w:eastAsia="Times New Roman" w:hAnsiTheme="majorHAnsi" w:cs="Times New Roman"/>
          <w:b/>
          <w:bCs/>
          <w:sz w:val="40"/>
          <w:szCs w:val="40"/>
        </w:rPr>
        <w:t xml:space="preserve">75 social and labor protests </w:t>
      </w:r>
      <w:bookmarkStart w:id="0" w:name="_GoBack"/>
      <w:bookmarkEnd w:id="0"/>
      <w:r w:rsidRPr="009814E1">
        <w:rPr>
          <w:rFonts w:asciiTheme="majorHAnsi" w:eastAsia="Times New Roman" w:hAnsiTheme="majorHAnsi" w:cs="Times New Roman"/>
          <w:b/>
          <w:bCs/>
          <w:sz w:val="40"/>
          <w:szCs w:val="40"/>
        </w:rPr>
        <w:t>during the 3</w:t>
      </w:r>
      <w:r w:rsidRPr="009814E1">
        <w:rPr>
          <w:rFonts w:asciiTheme="majorHAnsi" w:eastAsia="Times New Roman" w:hAnsiTheme="majorHAnsi" w:cs="Times New Roman"/>
          <w:b/>
          <w:bCs/>
          <w:sz w:val="40"/>
          <w:szCs w:val="40"/>
          <w:vertAlign w:val="superscript"/>
        </w:rPr>
        <w:t>rd</w:t>
      </w:r>
      <w:r w:rsidRPr="009814E1">
        <w:rPr>
          <w:rFonts w:asciiTheme="majorHAnsi" w:eastAsia="Times New Roman" w:hAnsiTheme="majorHAnsi" w:cs="Times New Roman"/>
          <w:b/>
          <w:bCs/>
          <w:sz w:val="40"/>
          <w:szCs w:val="40"/>
        </w:rPr>
        <w:t xml:space="preserve"> quarter of 2020</w:t>
      </w:r>
    </w:p>
    <w:p w:rsidR="000E448C" w:rsidRPr="000E448C" w:rsidRDefault="000E448C" w:rsidP="000E448C">
      <w:pPr>
        <w:bidi w:val="0"/>
        <w:spacing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0E448C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Introduction </w:t>
      </w:r>
    </w:p>
    <w:p w:rsidR="000E448C" w:rsidRDefault="000E448C" w:rsidP="007010EB">
      <w:pPr>
        <w:bidi w:val="0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Covering the third quarter of the year 2020, this report </w:t>
      </w:r>
      <w:r w:rsidR="00811DD3">
        <w:rPr>
          <w:rFonts w:asciiTheme="majorHAnsi" w:eastAsia="Times New Roman" w:hAnsiTheme="majorHAnsi" w:cs="Times New Roman"/>
          <w:sz w:val="24"/>
          <w:szCs w:val="24"/>
        </w:rPr>
        <w:t xml:space="preserve">witnessed a continuation of the social and labor protests </w:t>
      </w:r>
      <w:r w:rsidR="007010EB">
        <w:rPr>
          <w:rFonts w:asciiTheme="majorHAnsi" w:eastAsia="Times New Roman" w:hAnsiTheme="majorHAnsi" w:cs="Times New Roman"/>
          <w:sz w:val="24"/>
          <w:szCs w:val="24"/>
        </w:rPr>
        <w:t>that denounce</w:t>
      </w:r>
      <w:r w:rsidR="00811DD3">
        <w:rPr>
          <w:rFonts w:asciiTheme="majorHAnsi" w:eastAsia="Times New Roman" w:hAnsiTheme="majorHAnsi" w:cs="Times New Roman"/>
          <w:sz w:val="24"/>
          <w:szCs w:val="24"/>
        </w:rPr>
        <w:t xml:space="preserve"> the economic situation in Egypt. These protests amounted to nearly 75 </w:t>
      </w:r>
      <w:r w:rsidR="009532E0">
        <w:rPr>
          <w:rFonts w:asciiTheme="majorHAnsi" w:eastAsia="Times New Roman" w:hAnsiTheme="majorHAnsi" w:cs="Times New Roman"/>
          <w:sz w:val="24"/>
          <w:szCs w:val="24"/>
        </w:rPr>
        <w:t xml:space="preserve">cases </w:t>
      </w:r>
      <w:r w:rsidR="007010EB">
        <w:rPr>
          <w:rFonts w:asciiTheme="majorHAnsi" w:eastAsia="Times New Roman" w:hAnsiTheme="majorHAnsi" w:cs="Times New Roman"/>
          <w:sz w:val="24"/>
          <w:szCs w:val="24"/>
        </w:rPr>
        <w:t>which</w:t>
      </w:r>
      <w:r w:rsidR="000D2953">
        <w:rPr>
          <w:rFonts w:asciiTheme="majorHAnsi" w:eastAsia="Times New Roman" w:hAnsiTheme="majorHAnsi" w:cs="Times New Roman"/>
          <w:sz w:val="24"/>
          <w:szCs w:val="24"/>
        </w:rPr>
        <w:t xml:space="preserve"> took place in </w:t>
      </w:r>
      <w:r w:rsidR="009532E0">
        <w:rPr>
          <w:rFonts w:asciiTheme="majorHAnsi" w:eastAsia="Times New Roman" w:hAnsiTheme="majorHAnsi" w:cs="Times New Roman"/>
          <w:sz w:val="24"/>
          <w:szCs w:val="24"/>
        </w:rPr>
        <w:t>the</w:t>
      </w:r>
      <w:r w:rsidR="000D2953">
        <w:rPr>
          <w:rFonts w:asciiTheme="majorHAnsi" w:eastAsia="Times New Roman" w:hAnsiTheme="majorHAnsi" w:cs="Times New Roman"/>
          <w:sz w:val="24"/>
          <w:szCs w:val="24"/>
        </w:rPr>
        <w:t xml:space="preserve"> various</w:t>
      </w:r>
      <w:r w:rsidR="009532E0">
        <w:rPr>
          <w:rFonts w:asciiTheme="majorHAnsi" w:eastAsia="Times New Roman" w:hAnsiTheme="majorHAnsi" w:cs="Times New Roman"/>
          <w:sz w:val="24"/>
          <w:szCs w:val="24"/>
        </w:rPr>
        <w:t xml:space="preserve"> protesting</w:t>
      </w:r>
      <w:r w:rsidR="000D2953">
        <w:rPr>
          <w:rFonts w:asciiTheme="majorHAnsi" w:eastAsia="Times New Roman" w:hAnsiTheme="majorHAnsi" w:cs="Times New Roman"/>
          <w:sz w:val="24"/>
          <w:szCs w:val="24"/>
        </w:rPr>
        <w:t xml:space="preserve"> forms during the reporting period.</w:t>
      </w:r>
      <w:r w:rsidR="00811D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9532E0" w:rsidRDefault="000D2953" w:rsidP="007010EB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Protest vigils came to the forefront </w:t>
      </w:r>
      <w:r w:rsidR="007010EB">
        <w:rPr>
          <w:rFonts w:asciiTheme="majorHAnsi" w:eastAsia="Times New Roman" w:hAnsiTheme="majorHAnsi" w:cs="Times New Roman"/>
          <w:sz w:val="24"/>
          <w:szCs w:val="24"/>
        </w:rPr>
        <w:t>by</w:t>
      </w:r>
      <w:r w:rsidR="009532E0">
        <w:rPr>
          <w:rFonts w:asciiTheme="majorHAnsi" w:eastAsia="Times New Roman" w:hAnsiTheme="majorHAnsi" w:cs="Times New Roman"/>
          <w:sz w:val="24"/>
          <w:szCs w:val="24"/>
        </w:rPr>
        <w:t xml:space="preserve"> 15 vigils being monitored </w:t>
      </w:r>
    </w:p>
    <w:p w:rsidR="000D2953" w:rsidRDefault="009532E0" w:rsidP="00A42A45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Followed by suicide cases which have been noticeably on the rise </w:t>
      </w:r>
      <w:r w:rsidR="00A42A45">
        <w:rPr>
          <w:rFonts w:asciiTheme="majorHAnsi" w:eastAsia="Times New Roman" w:hAnsiTheme="majorHAnsi" w:cs="Times New Roman"/>
          <w:sz w:val="24"/>
          <w:szCs w:val="24"/>
        </w:rPr>
        <w:t xml:space="preserve">with 14 cases being monitored, </w:t>
      </w:r>
      <w:r>
        <w:rPr>
          <w:rFonts w:asciiTheme="majorHAnsi" w:eastAsia="Times New Roman" w:hAnsiTheme="majorHAnsi" w:cs="Times New Roman"/>
          <w:sz w:val="24"/>
          <w:szCs w:val="24"/>
        </w:rPr>
        <w:t>comparing to the previous report</w:t>
      </w:r>
      <w:r w:rsidR="00A42A45">
        <w:rPr>
          <w:rFonts w:asciiTheme="majorHAnsi" w:eastAsia="Times New Roman" w:hAnsiTheme="majorHAnsi" w:cs="Times New Roman"/>
          <w:sz w:val="24"/>
          <w:szCs w:val="24"/>
        </w:rPr>
        <w:t xml:space="preserve"> which monitored only two cases, a matter which indicates a potential risk that needs to be addressed. </w:t>
      </w:r>
      <w:r w:rsidR="000D295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A42A45" w:rsidRDefault="00A42A45" w:rsidP="007010EB">
      <w:pPr>
        <w:bidi w:val="0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During the months covered by the report, the Social Movements Monitoring Center Program monitored: </w:t>
      </w:r>
      <w:r w:rsidRPr="00A42A45">
        <w:rPr>
          <w:rFonts w:asciiTheme="majorHAnsi" w:eastAsia="Times New Roman" w:hAnsiTheme="majorHAnsi" w:cs="Times New Roman"/>
          <w:sz w:val="24"/>
          <w:szCs w:val="24"/>
        </w:rPr>
        <w:t xml:space="preserve">45 </w:t>
      </w:r>
      <w:r>
        <w:rPr>
          <w:rFonts w:asciiTheme="majorHAnsi" w:eastAsia="Times New Roman" w:hAnsiTheme="majorHAnsi" w:cs="Times New Roman"/>
          <w:sz w:val="24"/>
          <w:szCs w:val="24"/>
        </w:rPr>
        <w:t>labor and professional protests and 30 social protests out of a total of 75 protests.</w:t>
      </w:r>
    </w:p>
    <w:p w:rsidR="00A42A45" w:rsidRDefault="00A42A45" w:rsidP="007010EB">
      <w:pPr>
        <w:bidi w:val="0"/>
        <w:spacing w:line="240" w:lineRule="auto"/>
        <w:ind w:left="36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The following chart </w:t>
      </w:r>
      <w:r w:rsidR="00113E7E">
        <w:rPr>
          <w:rFonts w:asciiTheme="majorHAnsi" w:eastAsia="Times New Roman" w:hAnsiTheme="majorHAnsi" w:cs="Times New Roman"/>
          <w:sz w:val="24"/>
          <w:szCs w:val="24"/>
        </w:rPr>
        <w:t xml:space="preserve">shows the distribution of the labor, professional </w:t>
      </w:r>
      <w:r w:rsidR="00113E7E" w:rsidRPr="00113E7E">
        <w:rPr>
          <w:rFonts w:asciiTheme="majorHAnsi" w:eastAsia="Times New Roman" w:hAnsiTheme="majorHAnsi" w:cs="Times New Roman"/>
          <w:sz w:val="24"/>
          <w:szCs w:val="24"/>
        </w:rPr>
        <w:t>and social protests</w:t>
      </w:r>
      <w:r w:rsidR="007010EB">
        <w:rPr>
          <w:rFonts w:asciiTheme="majorHAnsi" w:eastAsia="Times New Roman" w:hAnsiTheme="majorHAnsi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89"/>
        <w:gridCol w:w="3947"/>
      </w:tblGrid>
      <w:tr w:rsidR="00113E7E" w:rsidTr="00113E7E">
        <w:tc>
          <w:tcPr>
            <w:tcW w:w="4261" w:type="dxa"/>
          </w:tcPr>
          <w:p w:rsidR="00113E7E" w:rsidRDefault="00113E7E" w:rsidP="007010EB">
            <w:pPr>
              <w:bidi w:val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Labor and Professional Protests</w:t>
            </w:r>
          </w:p>
        </w:tc>
        <w:tc>
          <w:tcPr>
            <w:tcW w:w="4261" w:type="dxa"/>
          </w:tcPr>
          <w:p w:rsidR="00113E7E" w:rsidRDefault="00113E7E" w:rsidP="007010EB">
            <w:pPr>
              <w:bidi w:val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Social Protests</w:t>
            </w:r>
          </w:p>
        </w:tc>
      </w:tr>
      <w:tr w:rsidR="00113E7E" w:rsidTr="00113E7E">
        <w:tc>
          <w:tcPr>
            <w:tcW w:w="4261" w:type="dxa"/>
          </w:tcPr>
          <w:p w:rsidR="00113E7E" w:rsidRDefault="00113E7E" w:rsidP="007010EB">
            <w:pPr>
              <w:bidi w:val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60%</w:t>
            </w:r>
          </w:p>
        </w:tc>
        <w:tc>
          <w:tcPr>
            <w:tcW w:w="4261" w:type="dxa"/>
          </w:tcPr>
          <w:p w:rsidR="00113E7E" w:rsidRDefault="00113E7E" w:rsidP="007010EB">
            <w:pPr>
              <w:bidi w:val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40%</w:t>
            </w:r>
          </w:p>
        </w:tc>
      </w:tr>
    </w:tbl>
    <w:p w:rsidR="00113E7E" w:rsidRPr="00A42A45" w:rsidRDefault="009814E1" w:rsidP="00113E7E">
      <w:pPr>
        <w:bidi w:val="0"/>
        <w:spacing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4953000" cy="316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F97" w:rsidRPr="00B37F70" w:rsidRDefault="00113E7E" w:rsidP="00E00F97">
      <w:pPr>
        <w:bidi w:val="0"/>
        <w:spacing w:after="24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bidi="ar-EG"/>
        </w:rPr>
      </w:pPr>
      <w:r w:rsidRPr="00B37F7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  <w:lang w:bidi="ar-EG"/>
        </w:rPr>
        <w:t xml:space="preserve">First: Labor and Professional Protests </w:t>
      </w:r>
    </w:p>
    <w:p w:rsidR="00E00F97" w:rsidRPr="00E00F97" w:rsidRDefault="007010EB" w:rsidP="00E00F97">
      <w:pPr>
        <w:bidi w:val="0"/>
        <w:spacing w:after="24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bidi="ar-EG"/>
        </w:rPr>
      </w:pPr>
      <w:r>
        <w:rPr>
          <w:rFonts w:asciiTheme="majorHAnsi" w:eastAsia="Times New Roman" w:hAnsiTheme="majorHAnsi" w:cs="Times New Roman"/>
          <w:sz w:val="24"/>
          <w:szCs w:val="24"/>
          <w:lang w:bidi="ar-EG"/>
        </w:rPr>
        <w:t>During the months of June, July and August, the</w:t>
      </w:r>
      <w:r w:rsidRPr="007010EB">
        <w:rPr>
          <w:rFonts w:asciiTheme="majorHAnsi" w:eastAsia="Times New Roman" w:hAnsiTheme="majorHAnsi" w:cs="Times New Roman"/>
          <w:sz w:val="24"/>
          <w:szCs w:val="24"/>
          <w:lang w:bidi="ar-EG"/>
        </w:rPr>
        <w:t xml:space="preserve"> Social Movements Monitoring Center Program</w:t>
      </w:r>
      <w:r>
        <w:rPr>
          <w:rFonts w:asciiTheme="majorHAnsi" w:eastAsia="Times New Roman" w:hAnsiTheme="majorHAnsi" w:cs="Times New Roman"/>
          <w:sz w:val="24"/>
          <w:szCs w:val="24"/>
          <w:lang w:bidi="ar-EG"/>
        </w:rPr>
        <w:t xml:space="preserve"> monitored 45 protests distributed as follows:</w:t>
      </w:r>
    </w:p>
    <w:p w:rsidR="00E00F97" w:rsidRDefault="00E00F97" w:rsidP="00E00F97">
      <w:pPr>
        <w:pStyle w:val="ListParagraph"/>
        <w:numPr>
          <w:ilvl w:val="0"/>
          <w:numId w:val="4"/>
        </w:numPr>
        <w:bidi w:val="0"/>
        <w:spacing w:after="240" w:line="240" w:lineRule="auto"/>
        <w:rPr>
          <w:rFonts w:asciiTheme="majorHAnsi" w:eastAsia="Times New Roman" w:hAnsiTheme="majorHAnsi" w:cs="Times New Roman"/>
          <w:sz w:val="24"/>
          <w:szCs w:val="24"/>
          <w:lang w:bidi="ar-EG"/>
        </w:rPr>
      </w:pPr>
      <w:r>
        <w:rPr>
          <w:rFonts w:asciiTheme="majorHAnsi" w:eastAsia="Times New Roman" w:hAnsiTheme="majorHAnsi" w:cs="Times New Roman"/>
          <w:sz w:val="24"/>
          <w:szCs w:val="24"/>
          <w:lang w:bidi="ar-EG"/>
        </w:rPr>
        <w:t>Protest v</w:t>
      </w:r>
      <w:r w:rsidRPr="00E00F97">
        <w:rPr>
          <w:rFonts w:asciiTheme="majorHAnsi" w:eastAsia="Times New Roman" w:hAnsiTheme="majorHAnsi" w:cs="Times New Roman"/>
          <w:sz w:val="24"/>
          <w:szCs w:val="24"/>
          <w:lang w:bidi="ar-EG"/>
        </w:rPr>
        <w:t>igils: 10 cases</w:t>
      </w:r>
    </w:p>
    <w:p w:rsidR="00E00F97" w:rsidRDefault="00E00F97" w:rsidP="00E00F97">
      <w:pPr>
        <w:pStyle w:val="ListParagraph"/>
        <w:numPr>
          <w:ilvl w:val="0"/>
          <w:numId w:val="4"/>
        </w:numPr>
        <w:bidi w:val="0"/>
        <w:spacing w:after="240" w:line="240" w:lineRule="auto"/>
        <w:rPr>
          <w:rFonts w:asciiTheme="majorHAnsi" w:eastAsia="Times New Roman" w:hAnsiTheme="majorHAnsi" w:cs="Times New Roman"/>
          <w:sz w:val="24"/>
          <w:szCs w:val="24"/>
          <w:lang w:bidi="ar-EG"/>
        </w:rPr>
      </w:pPr>
      <w:r>
        <w:rPr>
          <w:rFonts w:asciiTheme="majorHAnsi" w:eastAsia="Times New Roman" w:hAnsiTheme="majorHAnsi" w:cs="Times New Roman"/>
          <w:sz w:val="24"/>
          <w:szCs w:val="24"/>
          <w:lang w:bidi="ar-EG"/>
        </w:rPr>
        <w:lastRenderedPageBreak/>
        <w:t xml:space="preserve">Gathering: 7 cases </w:t>
      </w:r>
    </w:p>
    <w:p w:rsidR="00E00F97" w:rsidRDefault="00E00F97" w:rsidP="00E00F97">
      <w:pPr>
        <w:pStyle w:val="ListParagraph"/>
        <w:numPr>
          <w:ilvl w:val="0"/>
          <w:numId w:val="4"/>
        </w:numPr>
        <w:bidi w:val="0"/>
        <w:spacing w:after="240" w:line="240" w:lineRule="auto"/>
        <w:rPr>
          <w:rFonts w:asciiTheme="majorHAnsi" w:eastAsia="Times New Roman" w:hAnsiTheme="majorHAnsi" w:cs="Times New Roman"/>
          <w:sz w:val="24"/>
          <w:szCs w:val="24"/>
          <w:lang w:bidi="ar-EG"/>
        </w:rPr>
      </w:pPr>
      <w:r>
        <w:rPr>
          <w:rFonts w:asciiTheme="majorHAnsi" w:eastAsia="Times New Roman" w:hAnsiTheme="majorHAnsi" w:cs="Times New Roman"/>
          <w:sz w:val="24"/>
          <w:szCs w:val="24"/>
          <w:lang w:bidi="ar-EG"/>
        </w:rPr>
        <w:t>P</w:t>
      </w:r>
      <w:r w:rsidRPr="00E00F97">
        <w:rPr>
          <w:rFonts w:asciiTheme="majorHAnsi" w:eastAsia="Times New Roman" w:hAnsiTheme="majorHAnsi" w:cs="Times New Roman"/>
          <w:sz w:val="24"/>
          <w:szCs w:val="24"/>
          <w:lang w:bidi="ar-EG"/>
        </w:rPr>
        <w:t>etition</w:t>
      </w:r>
      <w:r>
        <w:rPr>
          <w:rFonts w:asciiTheme="majorHAnsi" w:eastAsia="Times New Roman" w:hAnsiTheme="majorHAnsi" w:cs="Times New Roman"/>
          <w:sz w:val="24"/>
          <w:szCs w:val="24"/>
          <w:lang w:bidi="ar-EG"/>
        </w:rPr>
        <w:t>s</w:t>
      </w:r>
      <w:r w:rsidRPr="00E00F97">
        <w:rPr>
          <w:rFonts w:asciiTheme="majorHAnsi" w:eastAsia="Times New Roman" w:hAnsiTheme="majorHAnsi" w:cs="Times New Roman"/>
          <w:sz w:val="24"/>
          <w:szCs w:val="24"/>
          <w:lang w:bidi="ar-EG"/>
        </w:rPr>
        <w:t xml:space="preserve"> or complaint</w:t>
      </w:r>
      <w:r>
        <w:rPr>
          <w:rFonts w:asciiTheme="majorHAnsi" w:eastAsia="Times New Roman" w:hAnsiTheme="majorHAnsi" w:cs="Times New Roman"/>
          <w:sz w:val="24"/>
          <w:szCs w:val="24"/>
          <w:lang w:bidi="ar-EG"/>
        </w:rPr>
        <w:t xml:space="preserve">s: 7 cases </w:t>
      </w:r>
    </w:p>
    <w:p w:rsidR="00E00F97" w:rsidRDefault="00E00F97" w:rsidP="00E00F97">
      <w:pPr>
        <w:pStyle w:val="ListParagraph"/>
        <w:numPr>
          <w:ilvl w:val="0"/>
          <w:numId w:val="4"/>
        </w:numPr>
        <w:bidi w:val="0"/>
        <w:spacing w:after="240" w:line="240" w:lineRule="auto"/>
        <w:rPr>
          <w:rFonts w:asciiTheme="majorHAnsi" w:eastAsia="Times New Roman" w:hAnsiTheme="majorHAnsi" w:cs="Times New Roman"/>
          <w:sz w:val="24"/>
          <w:szCs w:val="24"/>
          <w:lang w:bidi="ar-EG"/>
        </w:rPr>
      </w:pPr>
      <w:r>
        <w:rPr>
          <w:rFonts w:asciiTheme="majorHAnsi" w:eastAsia="Times New Roman" w:hAnsiTheme="majorHAnsi" w:cs="Times New Roman"/>
          <w:sz w:val="24"/>
          <w:szCs w:val="24"/>
          <w:lang w:bidi="ar-EG"/>
        </w:rPr>
        <w:t>Strikes: 7 cases</w:t>
      </w:r>
    </w:p>
    <w:p w:rsidR="00E00F97" w:rsidRDefault="00E00F97" w:rsidP="00E00F97">
      <w:pPr>
        <w:pStyle w:val="ListParagraph"/>
        <w:numPr>
          <w:ilvl w:val="0"/>
          <w:numId w:val="4"/>
        </w:numPr>
        <w:bidi w:val="0"/>
        <w:spacing w:after="240" w:line="240" w:lineRule="auto"/>
        <w:rPr>
          <w:rFonts w:asciiTheme="majorHAnsi" w:eastAsia="Times New Roman" w:hAnsiTheme="majorHAnsi" w:cs="Times New Roman"/>
          <w:sz w:val="24"/>
          <w:szCs w:val="24"/>
          <w:lang w:bidi="ar-EG"/>
        </w:rPr>
      </w:pPr>
      <w:r>
        <w:rPr>
          <w:rFonts w:asciiTheme="majorHAnsi" w:eastAsia="Times New Roman" w:hAnsiTheme="majorHAnsi" w:cs="Times New Roman"/>
          <w:sz w:val="24"/>
          <w:szCs w:val="24"/>
          <w:lang w:bidi="ar-EG"/>
        </w:rPr>
        <w:t>Sit-ins: 6 cases</w:t>
      </w:r>
    </w:p>
    <w:p w:rsidR="00E00F97" w:rsidRDefault="00E00F97" w:rsidP="00E00F97">
      <w:pPr>
        <w:pStyle w:val="ListParagraph"/>
        <w:numPr>
          <w:ilvl w:val="0"/>
          <w:numId w:val="4"/>
        </w:numPr>
        <w:bidi w:val="0"/>
        <w:spacing w:after="240" w:line="240" w:lineRule="auto"/>
        <w:rPr>
          <w:rFonts w:asciiTheme="majorHAnsi" w:eastAsia="Times New Roman" w:hAnsiTheme="majorHAnsi" w:cs="Times New Roman"/>
          <w:sz w:val="24"/>
          <w:szCs w:val="24"/>
          <w:lang w:bidi="ar-EG"/>
        </w:rPr>
      </w:pPr>
      <w:r>
        <w:rPr>
          <w:rFonts w:asciiTheme="majorHAnsi" w:eastAsia="Times New Roman" w:hAnsiTheme="majorHAnsi" w:cs="Times New Roman"/>
          <w:sz w:val="24"/>
          <w:szCs w:val="24"/>
          <w:lang w:bidi="ar-EG"/>
        </w:rPr>
        <w:t>Suicide: 3 cases</w:t>
      </w:r>
    </w:p>
    <w:p w:rsidR="00E00F97" w:rsidRDefault="00E00F97" w:rsidP="00E00F97">
      <w:pPr>
        <w:pStyle w:val="ListParagraph"/>
        <w:numPr>
          <w:ilvl w:val="0"/>
          <w:numId w:val="4"/>
        </w:numPr>
        <w:bidi w:val="0"/>
        <w:spacing w:after="240" w:line="240" w:lineRule="auto"/>
        <w:rPr>
          <w:rFonts w:asciiTheme="majorHAnsi" w:eastAsia="Times New Roman" w:hAnsiTheme="majorHAnsi" w:cs="Times New Roman"/>
          <w:sz w:val="24"/>
          <w:szCs w:val="24"/>
          <w:lang w:bidi="ar-EG"/>
        </w:rPr>
      </w:pPr>
      <w:r>
        <w:rPr>
          <w:rFonts w:asciiTheme="majorHAnsi" w:eastAsia="Times New Roman" w:hAnsiTheme="majorHAnsi" w:cs="Times New Roman"/>
          <w:sz w:val="24"/>
          <w:szCs w:val="24"/>
          <w:lang w:bidi="ar-EG"/>
        </w:rPr>
        <w:t>Threatening to strike: 3</w:t>
      </w:r>
    </w:p>
    <w:p w:rsidR="00E00F97" w:rsidRDefault="00E00F97" w:rsidP="00E00F97">
      <w:pPr>
        <w:pStyle w:val="ListParagraph"/>
        <w:numPr>
          <w:ilvl w:val="0"/>
          <w:numId w:val="4"/>
        </w:numPr>
        <w:bidi w:val="0"/>
        <w:spacing w:after="240" w:line="240" w:lineRule="auto"/>
        <w:rPr>
          <w:rFonts w:asciiTheme="majorHAnsi" w:eastAsia="Times New Roman" w:hAnsiTheme="majorHAnsi" w:cs="Times New Roman"/>
          <w:sz w:val="24"/>
          <w:szCs w:val="24"/>
          <w:lang w:bidi="ar-EG"/>
        </w:rPr>
      </w:pPr>
      <w:r>
        <w:rPr>
          <w:rFonts w:asciiTheme="majorHAnsi" w:eastAsia="Times New Roman" w:hAnsiTheme="majorHAnsi" w:cs="Times New Roman"/>
          <w:sz w:val="24"/>
          <w:szCs w:val="24"/>
          <w:lang w:bidi="ar-EG"/>
        </w:rPr>
        <w:t>Protests: 2</w:t>
      </w:r>
    </w:p>
    <w:p w:rsidR="00E00F97" w:rsidRPr="008F2C6B" w:rsidRDefault="00E00F97" w:rsidP="00E00F97">
      <w:pPr>
        <w:bidi w:val="0"/>
        <w:spacing w:after="24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bidi="ar-EG"/>
        </w:rPr>
        <w:t>The following chart shows the methods</w:t>
      </w:r>
      <w:r w:rsidRPr="00E00F97"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bidi="ar-EG"/>
        </w:rPr>
        <w:t xml:space="preserve">of </w:t>
      </w:r>
      <w:r w:rsidRPr="00E00F97">
        <w:rPr>
          <w:rFonts w:asciiTheme="majorHAnsi" w:eastAsia="Times New Roman" w:hAnsiTheme="majorHAnsi" w:cs="Times New Roman"/>
          <w:sz w:val="24"/>
          <w:szCs w:val="24"/>
          <w:lang w:bidi="ar-EG"/>
        </w:rPr>
        <w:t>labor and professional protests</w:t>
      </w:r>
      <w:r>
        <w:rPr>
          <w:rFonts w:asciiTheme="majorHAnsi" w:eastAsia="Times New Roman" w:hAnsiTheme="majorHAnsi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418"/>
      </w:tblGrid>
      <w:tr w:rsidR="00E00F97" w:rsidTr="00E00F97">
        <w:tc>
          <w:tcPr>
            <w:tcW w:w="3085" w:type="dxa"/>
          </w:tcPr>
          <w:p w:rsidR="00E00F97" w:rsidRDefault="00E00F97" w:rsidP="00E00F97">
            <w:pPr>
              <w:bidi w:val="0"/>
              <w:spacing w:after="24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00F97">
              <w:rPr>
                <w:rFonts w:asciiTheme="majorHAnsi" w:eastAsia="Times New Roman" w:hAnsiTheme="majorHAnsi" w:cs="Times New Roman"/>
                <w:sz w:val="24"/>
                <w:szCs w:val="24"/>
              </w:rPr>
              <w:t>Protest vigils</w:t>
            </w:r>
          </w:p>
        </w:tc>
        <w:tc>
          <w:tcPr>
            <w:tcW w:w="1418" w:type="dxa"/>
          </w:tcPr>
          <w:p w:rsidR="00E00F97" w:rsidRDefault="00E00F97" w:rsidP="00E00F97">
            <w:pPr>
              <w:bidi w:val="0"/>
              <w:spacing w:after="24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23%</w:t>
            </w:r>
          </w:p>
        </w:tc>
      </w:tr>
      <w:tr w:rsidR="00E00F97" w:rsidTr="00E00F97">
        <w:tc>
          <w:tcPr>
            <w:tcW w:w="3085" w:type="dxa"/>
          </w:tcPr>
          <w:p w:rsidR="00E00F97" w:rsidRDefault="00E00F97" w:rsidP="00E00F97">
            <w:pPr>
              <w:bidi w:val="0"/>
              <w:spacing w:after="24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00F97">
              <w:rPr>
                <w:rFonts w:asciiTheme="majorHAnsi" w:eastAsia="Times New Roman" w:hAnsiTheme="majorHAnsi" w:cs="Times New Roman"/>
                <w:sz w:val="24"/>
                <w:szCs w:val="24"/>
              </w:rPr>
              <w:t>Gathering</w:t>
            </w:r>
          </w:p>
        </w:tc>
        <w:tc>
          <w:tcPr>
            <w:tcW w:w="1418" w:type="dxa"/>
          </w:tcPr>
          <w:p w:rsidR="00E00F97" w:rsidRDefault="00E00F97" w:rsidP="00E00F97">
            <w:pPr>
              <w:bidi w:val="0"/>
              <w:spacing w:after="24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15%</w:t>
            </w:r>
          </w:p>
        </w:tc>
      </w:tr>
      <w:tr w:rsidR="00E00F97" w:rsidTr="00E00F97">
        <w:tc>
          <w:tcPr>
            <w:tcW w:w="3085" w:type="dxa"/>
          </w:tcPr>
          <w:p w:rsidR="00E00F97" w:rsidRDefault="00E00F97" w:rsidP="00E00F97">
            <w:pPr>
              <w:bidi w:val="0"/>
              <w:spacing w:after="24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Petitions </w:t>
            </w:r>
            <w:r w:rsidRPr="00E00F97">
              <w:rPr>
                <w:rFonts w:asciiTheme="majorHAnsi" w:eastAsia="Times New Roman" w:hAnsiTheme="majorHAnsi" w:cs="Times New Roman"/>
                <w:sz w:val="24"/>
                <w:szCs w:val="24"/>
              </w:rPr>
              <w:t>or complaints</w:t>
            </w:r>
          </w:p>
        </w:tc>
        <w:tc>
          <w:tcPr>
            <w:tcW w:w="1418" w:type="dxa"/>
          </w:tcPr>
          <w:p w:rsidR="00E00F97" w:rsidRDefault="00E00F97" w:rsidP="00E00F97">
            <w:pPr>
              <w:bidi w:val="0"/>
              <w:spacing w:after="24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15%</w:t>
            </w:r>
          </w:p>
        </w:tc>
      </w:tr>
      <w:tr w:rsidR="00E00F97" w:rsidTr="00E00F97">
        <w:tc>
          <w:tcPr>
            <w:tcW w:w="3085" w:type="dxa"/>
          </w:tcPr>
          <w:p w:rsidR="00E00F97" w:rsidRDefault="00E00F97" w:rsidP="00E00F97">
            <w:pPr>
              <w:bidi w:val="0"/>
              <w:spacing w:after="24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Strikes </w:t>
            </w:r>
          </w:p>
        </w:tc>
        <w:tc>
          <w:tcPr>
            <w:tcW w:w="1418" w:type="dxa"/>
          </w:tcPr>
          <w:p w:rsidR="00E00F97" w:rsidRDefault="00E00F97" w:rsidP="00E00F97">
            <w:pPr>
              <w:bidi w:val="0"/>
              <w:spacing w:after="24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15%</w:t>
            </w:r>
          </w:p>
        </w:tc>
      </w:tr>
      <w:tr w:rsidR="00E00F97" w:rsidTr="00E00F97">
        <w:tc>
          <w:tcPr>
            <w:tcW w:w="3085" w:type="dxa"/>
          </w:tcPr>
          <w:p w:rsidR="00E00F97" w:rsidRDefault="00E00F97" w:rsidP="00E00F97">
            <w:pPr>
              <w:bidi w:val="0"/>
              <w:spacing w:after="24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Sit-ins</w:t>
            </w:r>
          </w:p>
        </w:tc>
        <w:tc>
          <w:tcPr>
            <w:tcW w:w="1418" w:type="dxa"/>
          </w:tcPr>
          <w:p w:rsidR="00E00F97" w:rsidRDefault="00E00F97" w:rsidP="00E00F97">
            <w:pPr>
              <w:bidi w:val="0"/>
              <w:spacing w:after="24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13%</w:t>
            </w:r>
          </w:p>
        </w:tc>
      </w:tr>
      <w:tr w:rsidR="00E00F97" w:rsidTr="00E00F97">
        <w:tc>
          <w:tcPr>
            <w:tcW w:w="3085" w:type="dxa"/>
          </w:tcPr>
          <w:p w:rsidR="00E00F97" w:rsidRDefault="00E00F97" w:rsidP="00E00F97">
            <w:pPr>
              <w:bidi w:val="0"/>
              <w:spacing w:after="24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00F97">
              <w:rPr>
                <w:rFonts w:asciiTheme="majorHAnsi" w:eastAsia="Times New Roman" w:hAnsiTheme="majorHAnsi" w:cs="Times New Roman"/>
                <w:sz w:val="24"/>
                <w:szCs w:val="24"/>
              </w:rPr>
              <w:t>Suicide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cases</w:t>
            </w:r>
          </w:p>
        </w:tc>
        <w:tc>
          <w:tcPr>
            <w:tcW w:w="1418" w:type="dxa"/>
          </w:tcPr>
          <w:p w:rsidR="00E00F97" w:rsidRDefault="00E00F97" w:rsidP="00E00F97">
            <w:pPr>
              <w:bidi w:val="0"/>
              <w:spacing w:after="24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7%</w:t>
            </w:r>
          </w:p>
        </w:tc>
      </w:tr>
      <w:tr w:rsidR="00E00F97" w:rsidTr="00E00F97">
        <w:tc>
          <w:tcPr>
            <w:tcW w:w="3085" w:type="dxa"/>
          </w:tcPr>
          <w:p w:rsidR="00E00F97" w:rsidRDefault="00E00F97" w:rsidP="00E00F97">
            <w:pPr>
              <w:bidi w:val="0"/>
              <w:spacing w:after="24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Threatening to strike </w:t>
            </w:r>
          </w:p>
        </w:tc>
        <w:tc>
          <w:tcPr>
            <w:tcW w:w="1418" w:type="dxa"/>
          </w:tcPr>
          <w:p w:rsidR="00E00F97" w:rsidRDefault="00E00F97" w:rsidP="00E00F97">
            <w:pPr>
              <w:bidi w:val="0"/>
              <w:spacing w:after="24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7%</w:t>
            </w:r>
          </w:p>
        </w:tc>
      </w:tr>
      <w:tr w:rsidR="00E00F97" w:rsidTr="00E00F97">
        <w:tc>
          <w:tcPr>
            <w:tcW w:w="3085" w:type="dxa"/>
          </w:tcPr>
          <w:p w:rsidR="00E00F97" w:rsidRDefault="00E00F97" w:rsidP="00E00F97">
            <w:pPr>
              <w:bidi w:val="0"/>
              <w:spacing w:after="24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Protests </w:t>
            </w:r>
          </w:p>
        </w:tc>
        <w:tc>
          <w:tcPr>
            <w:tcW w:w="1418" w:type="dxa"/>
          </w:tcPr>
          <w:p w:rsidR="00E00F97" w:rsidRDefault="00E00F97" w:rsidP="00E00F97">
            <w:pPr>
              <w:bidi w:val="0"/>
              <w:spacing w:after="24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5%</w:t>
            </w:r>
          </w:p>
        </w:tc>
      </w:tr>
    </w:tbl>
    <w:p w:rsidR="008F2C6B" w:rsidRDefault="009814E1" w:rsidP="009814E1">
      <w:pPr>
        <w:bidi w:val="0"/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5274310" cy="3165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F70" w:rsidRPr="00B37F70" w:rsidRDefault="00B37F70" w:rsidP="00B37F70">
      <w:pPr>
        <w:bidi w:val="0"/>
        <w:spacing w:after="24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</w:pPr>
      <w:r w:rsidRPr="00B37F70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Second: Social protests:</w:t>
      </w:r>
    </w:p>
    <w:p w:rsidR="00B37F70" w:rsidRDefault="00B37F70" w:rsidP="00B37F70">
      <w:pPr>
        <w:bidi w:val="0"/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37F70">
        <w:rPr>
          <w:rFonts w:asciiTheme="majorHAnsi" w:eastAsia="Times New Roman" w:hAnsiTheme="majorHAnsi" w:cs="Times New Roman"/>
          <w:sz w:val="24"/>
          <w:szCs w:val="24"/>
        </w:rPr>
        <w:t>During the months of June, July and August, the Social Movements Monitoring Center Program monitored 45 protests distributed as follows:</w:t>
      </w:r>
    </w:p>
    <w:p w:rsidR="00B37F70" w:rsidRDefault="00B37F70" w:rsidP="00B37F70">
      <w:pPr>
        <w:pStyle w:val="ListParagraph"/>
        <w:numPr>
          <w:ilvl w:val="0"/>
          <w:numId w:val="4"/>
        </w:numPr>
        <w:bidi w:val="0"/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Protest vigils: 15 cases</w:t>
      </w:r>
      <w:r w:rsidRPr="00B37F7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B37F70" w:rsidRDefault="00B37F70" w:rsidP="00B37F70">
      <w:pPr>
        <w:pStyle w:val="ListParagraph"/>
        <w:numPr>
          <w:ilvl w:val="0"/>
          <w:numId w:val="4"/>
        </w:numPr>
        <w:bidi w:val="0"/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lastRenderedPageBreak/>
        <w:t>Suicide: 8 cases</w:t>
      </w:r>
    </w:p>
    <w:p w:rsidR="00B37F70" w:rsidRDefault="00B37F70" w:rsidP="00B37F70">
      <w:pPr>
        <w:pStyle w:val="ListParagraph"/>
        <w:numPr>
          <w:ilvl w:val="0"/>
          <w:numId w:val="4"/>
        </w:numPr>
        <w:bidi w:val="0"/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Gathering: 5 cases</w:t>
      </w:r>
    </w:p>
    <w:p w:rsidR="00B37F70" w:rsidRDefault="00B37F70" w:rsidP="00B37F70">
      <w:pPr>
        <w:pStyle w:val="ListParagraph"/>
        <w:numPr>
          <w:ilvl w:val="0"/>
          <w:numId w:val="4"/>
        </w:numPr>
        <w:bidi w:val="0"/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Threatening to protest: 1 case </w:t>
      </w:r>
    </w:p>
    <w:p w:rsidR="00B37F70" w:rsidRDefault="00B37F70" w:rsidP="00B37F70">
      <w:pPr>
        <w:pStyle w:val="ListParagraph"/>
        <w:numPr>
          <w:ilvl w:val="0"/>
          <w:numId w:val="4"/>
        </w:numPr>
        <w:bidi w:val="0"/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Petitions or complaints: 1 case</w:t>
      </w:r>
    </w:p>
    <w:p w:rsidR="008F2C6B" w:rsidRDefault="00B37F70" w:rsidP="00B37F70">
      <w:pPr>
        <w:bidi w:val="0"/>
        <w:spacing w:after="240" w:line="240" w:lineRule="auto"/>
        <w:ind w:left="36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The following table shows the methods of social protests: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1763"/>
      </w:tblGrid>
      <w:tr w:rsidR="00B37F70" w:rsidTr="00B37F70">
        <w:tc>
          <w:tcPr>
            <w:tcW w:w="2348" w:type="dxa"/>
          </w:tcPr>
          <w:p w:rsidR="00B37F70" w:rsidRDefault="00B37F70" w:rsidP="00B37F70">
            <w:pPr>
              <w:bidi w:val="0"/>
              <w:spacing w:after="24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Protest vigils</w:t>
            </w:r>
          </w:p>
        </w:tc>
        <w:tc>
          <w:tcPr>
            <w:tcW w:w="1763" w:type="dxa"/>
          </w:tcPr>
          <w:p w:rsidR="00B37F70" w:rsidRDefault="00B37F70" w:rsidP="00B37F70">
            <w:pPr>
              <w:bidi w:val="0"/>
              <w:spacing w:after="24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50%</w:t>
            </w:r>
          </w:p>
        </w:tc>
      </w:tr>
      <w:tr w:rsidR="00B37F70" w:rsidTr="00B37F70">
        <w:tc>
          <w:tcPr>
            <w:tcW w:w="2348" w:type="dxa"/>
          </w:tcPr>
          <w:p w:rsidR="00B37F70" w:rsidRDefault="00B37F70" w:rsidP="00B37F70">
            <w:pPr>
              <w:bidi w:val="0"/>
              <w:spacing w:after="24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Suicide </w:t>
            </w:r>
          </w:p>
        </w:tc>
        <w:tc>
          <w:tcPr>
            <w:tcW w:w="1763" w:type="dxa"/>
          </w:tcPr>
          <w:p w:rsidR="00B37F70" w:rsidRDefault="00B37F70" w:rsidP="00B37F70">
            <w:pPr>
              <w:bidi w:val="0"/>
              <w:spacing w:after="24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27%</w:t>
            </w:r>
          </w:p>
        </w:tc>
      </w:tr>
      <w:tr w:rsidR="00B37F70" w:rsidTr="00B37F70">
        <w:tc>
          <w:tcPr>
            <w:tcW w:w="2348" w:type="dxa"/>
          </w:tcPr>
          <w:p w:rsidR="00B37F70" w:rsidRDefault="00B37F70" w:rsidP="00B37F70">
            <w:pPr>
              <w:bidi w:val="0"/>
              <w:spacing w:after="24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Gathering </w:t>
            </w:r>
          </w:p>
        </w:tc>
        <w:tc>
          <w:tcPr>
            <w:tcW w:w="1763" w:type="dxa"/>
          </w:tcPr>
          <w:p w:rsidR="00B37F70" w:rsidRDefault="00B37F70" w:rsidP="00B37F70">
            <w:pPr>
              <w:bidi w:val="0"/>
              <w:spacing w:after="24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17%</w:t>
            </w:r>
          </w:p>
        </w:tc>
      </w:tr>
      <w:tr w:rsidR="00B37F70" w:rsidTr="00B37F70">
        <w:tc>
          <w:tcPr>
            <w:tcW w:w="2348" w:type="dxa"/>
          </w:tcPr>
          <w:p w:rsidR="00B37F70" w:rsidRDefault="00B37F70" w:rsidP="00B37F70">
            <w:pPr>
              <w:bidi w:val="0"/>
              <w:spacing w:after="24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Threatening to protest</w:t>
            </w:r>
          </w:p>
        </w:tc>
        <w:tc>
          <w:tcPr>
            <w:tcW w:w="1763" w:type="dxa"/>
          </w:tcPr>
          <w:p w:rsidR="00B37F70" w:rsidRDefault="00B37F70" w:rsidP="00B37F70">
            <w:pPr>
              <w:bidi w:val="0"/>
              <w:spacing w:after="24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3%</w:t>
            </w:r>
          </w:p>
        </w:tc>
      </w:tr>
      <w:tr w:rsidR="00B37F70" w:rsidTr="00B37F70">
        <w:tc>
          <w:tcPr>
            <w:tcW w:w="2348" w:type="dxa"/>
          </w:tcPr>
          <w:p w:rsidR="00B37F70" w:rsidRDefault="00B37F70" w:rsidP="00B37F70">
            <w:pPr>
              <w:bidi w:val="0"/>
              <w:spacing w:after="24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37F70">
              <w:rPr>
                <w:rFonts w:asciiTheme="majorHAnsi" w:eastAsia="Times New Roman" w:hAnsiTheme="majorHAnsi" w:cs="Times New Roman"/>
                <w:sz w:val="24"/>
                <w:szCs w:val="24"/>
              </w:rPr>
              <w:t>Petitions or complaints</w:t>
            </w:r>
          </w:p>
        </w:tc>
        <w:tc>
          <w:tcPr>
            <w:tcW w:w="1763" w:type="dxa"/>
          </w:tcPr>
          <w:p w:rsidR="00B37F70" w:rsidRDefault="00B37F70" w:rsidP="00B37F70">
            <w:pPr>
              <w:bidi w:val="0"/>
              <w:spacing w:after="24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3%</w:t>
            </w:r>
          </w:p>
        </w:tc>
      </w:tr>
    </w:tbl>
    <w:p w:rsidR="00B37F70" w:rsidRDefault="009814E1" w:rsidP="00B37F70">
      <w:pPr>
        <w:bidi w:val="0"/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5274310" cy="3165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F70" w:rsidRPr="00B37F70" w:rsidRDefault="00B37F70" w:rsidP="00B37F70">
      <w:pPr>
        <w:bidi w:val="0"/>
        <w:spacing w:after="24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</w:pPr>
      <w:r w:rsidRPr="00B37F70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Third: The geographical distribution of labor and professional protests:</w:t>
      </w:r>
    </w:p>
    <w:p w:rsidR="008C4671" w:rsidRDefault="00B37F70" w:rsidP="008C4671">
      <w:pPr>
        <w:bidi w:val="0"/>
        <w:spacing w:after="24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37F70">
        <w:rPr>
          <w:rFonts w:asciiTheme="majorHAnsi" w:eastAsia="Times New Roman" w:hAnsiTheme="majorHAnsi" w:cs="Times New Roman"/>
          <w:sz w:val="24"/>
          <w:szCs w:val="24"/>
        </w:rPr>
        <w:t>Cairo governorate topped the list of governorates in terms of the number of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labor and professional protests with 13 protests being monitored</w:t>
      </w:r>
      <w:r w:rsidR="008C4671">
        <w:rPr>
          <w:rFonts w:asciiTheme="majorHAnsi" w:eastAsia="Times New Roman" w:hAnsiTheme="majorHAnsi" w:cs="Times New Roman"/>
          <w:sz w:val="24"/>
          <w:szCs w:val="24"/>
        </w:rPr>
        <w:t xml:space="preserve">, followed by </w:t>
      </w:r>
      <w:r w:rsidR="008C4671" w:rsidRPr="008C4671">
        <w:rPr>
          <w:rFonts w:asciiTheme="majorHAnsi" w:eastAsia="Times New Roman" w:hAnsiTheme="majorHAnsi" w:cs="Times New Roman"/>
          <w:sz w:val="24"/>
          <w:szCs w:val="24"/>
        </w:rPr>
        <w:t>Alexandria</w:t>
      </w:r>
      <w:r w:rsidR="008C4671">
        <w:rPr>
          <w:rFonts w:asciiTheme="majorHAnsi" w:eastAsia="Times New Roman" w:hAnsiTheme="majorHAnsi" w:cs="Times New Roman"/>
          <w:sz w:val="24"/>
          <w:szCs w:val="24"/>
        </w:rPr>
        <w:t xml:space="preserve"> with 7 protests</w:t>
      </w:r>
      <w:r w:rsidR="008C4671" w:rsidRPr="008C4671">
        <w:rPr>
          <w:rFonts w:asciiTheme="majorHAnsi" w:eastAsia="Times New Roman" w:hAnsiTheme="majorHAnsi" w:cs="Times New Roman"/>
          <w:sz w:val="24"/>
          <w:szCs w:val="24"/>
        </w:rPr>
        <w:t>, followed by Giza governorate with five protests.</w:t>
      </w:r>
      <w:r w:rsidR="008C4671">
        <w:rPr>
          <w:rFonts w:asciiTheme="majorHAnsi" w:eastAsia="Times New Roman" w:hAnsiTheme="majorHAnsi" w:cs="Times New Roman"/>
          <w:sz w:val="24"/>
          <w:szCs w:val="24"/>
        </w:rPr>
        <w:t xml:space="preserve"> Then came in the fourth place </w:t>
      </w:r>
      <w:proofErr w:type="spellStart"/>
      <w:r w:rsidR="008C4671">
        <w:rPr>
          <w:rFonts w:asciiTheme="majorHAnsi" w:eastAsia="Times New Roman" w:hAnsiTheme="majorHAnsi" w:cs="Times New Roman"/>
          <w:sz w:val="24"/>
          <w:szCs w:val="24"/>
        </w:rPr>
        <w:t>Menuofia</w:t>
      </w:r>
      <w:proofErr w:type="spellEnd"/>
      <w:r w:rsidR="008C4671">
        <w:rPr>
          <w:rFonts w:asciiTheme="majorHAnsi" w:eastAsia="Times New Roman" w:hAnsiTheme="majorHAnsi" w:cs="Times New Roman"/>
          <w:sz w:val="24"/>
          <w:szCs w:val="24"/>
        </w:rPr>
        <w:t xml:space="preserve"> governorate with 4 protests monitored. </w:t>
      </w:r>
      <w:proofErr w:type="spellStart"/>
      <w:r w:rsidR="008C4671">
        <w:rPr>
          <w:rFonts w:asciiTheme="majorHAnsi" w:eastAsia="Times New Roman" w:hAnsiTheme="majorHAnsi" w:cs="Times New Roman"/>
          <w:sz w:val="24"/>
          <w:szCs w:val="24"/>
        </w:rPr>
        <w:t>Sharqyia</w:t>
      </w:r>
      <w:proofErr w:type="spellEnd"/>
      <w:r w:rsidR="008C4671">
        <w:rPr>
          <w:rFonts w:asciiTheme="majorHAnsi" w:eastAsia="Times New Roman" w:hAnsiTheme="majorHAnsi" w:cs="Times New Roman"/>
          <w:sz w:val="24"/>
          <w:szCs w:val="24"/>
        </w:rPr>
        <w:t xml:space="preserve">, Ismailia and </w:t>
      </w:r>
      <w:proofErr w:type="spellStart"/>
      <w:r w:rsidR="008C4671">
        <w:rPr>
          <w:rFonts w:asciiTheme="majorHAnsi" w:eastAsia="Times New Roman" w:hAnsiTheme="majorHAnsi" w:cs="Times New Roman"/>
          <w:sz w:val="24"/>
          <w:szCs w:val="24"/>
        </w:rPr>
        <w:t>Daqahlyia</w:t>
      </w:r>
      <w:proofErr w:type="spellEnd"/>
      <w:r w:rsidR="008C4671">
        <w:rPr>
          <w:rFonts w:asciiTheme="majorHAnsi" w:eastAsia="Times New Roman" w:hAnsiTheme="majorHAnsi" w:cs="Times New Roman"/>
          <w:sz w:val="24"/>
          <w:szCs w:val="24"/>
        </w:rPr>
        <w:t xml:space="preserve"> governorates ranked fifth with 3 protests recorded in each one, followed by Al-</w:t>
      </w:r>
      <w:proofErr w:type="spellStart"/>
      <w:r w:rsidR="008C4671">
        <w:rPr>
          <w:rFonts w:asciiTheme="majorHAnsi" w:eastAsia="Times New Roman" w:hAnsiTheme="majorHAnsi" w:cs="Times New Roman"/>
          <w:sz w:val="24"/>
          <w:szCs w:val="24"/>
        </w:rPr>
        <w:t>Gharbyia</w:t>
      </w:r>
      <w:proofErr w:type="spellEnd"/>
      <w:r w:rsidR="008C4671">
        <w:rPr>
          <w:rFonts w:asciiTheme="majorHAnsi" w:eastAsia="Times New Roman" w:hAnsiTheme="majorHAnsi" w:cs="Times New Roman"/>
          <w:sz w:val="24"/>
          <w:szCs w:val="24"/>
        </w:rPr>
        <w:t xml:space="preserve"> governorate which recorded two protests during the reporting period</w:t>
      </w:r>
      <w:r w:rsidR="008C467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Then came in the final place the following governorates with only one protest monitored in each of them: </w:t>
      </w:r>
      <w:proofErr w:type="spellStart"/>
      <w:r w:rsidR="008C4671" w:rsidRPr="008C4671">
        <w:rPr>
          <w:rFonts w:asciiTheme="majorHAnsi" w:eastAsia="Times New Roman" w:hAnsiTheme="majorHAnsi" w:cs="Times New Roman"/>
          <w:color w:val="000000"/>
          <w:sz w:val="24"/>
          <w:szCs w:val="24"/>
        </w:rPr>
        <w:t>Kafr</w:t>
      </w:r>
      <w:proofErr w:type="spellEnd"/>
      <w:r w:rsidR="008C4671" w:rsidRPr="008C467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El-Sheikh, Aswan, Suez, </w:t>
      </w:r>
      <w:proofErr w:type="spellStart"/>
      <w:r w:rsidR="008C4671" w:rsidRPr="008C4671">
        <w:rPr>
          <w:rFonts w:asciiTheme="majorHAnsi" w:eastAsia="Times New Roman" w:hAnsiTheme="majorHAnsi" w:cs="Times New Roman"/>
          <w:color w:val="000000"/>
          <w:sz w:val="24"/>
          <w:szCs w:val="24"/>
        </w:rPr>
        <w:t>Beheira</w:t>
      </w:r>
      <w:proofErr w:type="spellEnd"/>
      <w:r w:rsidR="008C4671" w:rsidRPr="008C467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and </w:t>
      </w:r>
      <w:proofErr w:type="spellStart"/>
      <w:r w:rsidR="008C4671" w:rsidRPr="008C4671">
        <w:rPr>
          <w:rFonts w:asciiTheme="majorHAnsi" w:eastAsia="Times New Roman" w:hAnsiTheme="majorHAnsi" w:cs="Times New Roman"/>
          <w:color w:val="000000"/>
          <w:sz w:val="24"/>
          <w:szCs w:val="24"/>
        </w:rPr>
        <w:t>Fayoum</w:t>
      </w:r>
      <w:proofErr w:type="spellEnd"/>
      <w:r w:rsidR="008C4671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9814E1" w:rsidRDefault="009814E1" w:rsidP="009814E1">
      <w:pPr>
        <w:bidi w:val="0"/>
        <w:spacing w:after="24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F2C6B" w:rsidRDefault="008C4671" w:rsidP="0058235C">
      <w:pPr>
        <w:bidi w:val="0"/>
        <w:spacing w:after="24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The following table illustrates the </w:t>
      </w:r>
      <w:r w:rsidRPr="008C4671">
        <w:rPr>
          <w:rFonts w:asciiTheme="majorHAnsi" w:eastAsia="Times New Roman" w:hAnsiTheme="majorHAnsi" w:cs="Times New Roman"/>
          <w:color w:val="000000"/>
          <w:sz w:val="24"/>
          <w:szCs w:val="24"/>
        </w:rPr>
        <w:t>geographical distribution of labor and professional protests:</w:t>
      </w:r>
    </w:p>
    <w:p w:rsidR="0058235C" w:rsidRPr="008F2C6B" w:rsidRDefault="0058235C" w:rsidP="0058235C">
      <w:pPr>
        <w:bidi w:val="0"/>
        <w:spacing w:after="24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rtl/>
        </w:rPr>
      </w:pP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1589"/>
      </w:tblGrid>
      <w:tr w:rsidR="008F2C6B" w:rsidRPr="008F2C6B" w:rsidTr="008C4671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8C4671" w:rsidP="008C4671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8C4671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Cairo </w:t>
            </w:r>
          </w:p>
        </w:tc>
      </w:tr>
      <w:tr w:rsidR="008F2C6B" w:rsidRPr="008F2C6B" w:rsidTr="008C4671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8C4671" w:rsidP="008C4671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bidi="ar-EG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ar-EG"/>
              </w:rPr>
              <w:t>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8C4671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Alexandria </w:t>
            </w:r>
          </w:p>
        </w:tc>
      </w:tr>
      <w:tr w:rsidR="008F2C6B" w:rsidRPr="008F2C6B" w:rsidTr="008C4671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8C4671" w:rsidP="008C4671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5%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8C4671" w:rsidP="008C4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bidi="ar-EG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Giza</w:t>
            </w:r>
          </w:p>
        </w:tc>
      </w:tr>
      <w:tr w:rsidR="008F2C6B" w:rsidRPr="008F2C6B" w:rsidTr="008C4671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8C4671" w:rsidP="008C4671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4%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8C4671" w:rsidP="008C4671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8C46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Menoufia</w:t>
            </w:r>
            <w:proofErr w:type="spellEnd"/>
          </w:p>
        </w:tc>
      </w:tr>
      <w:tr w:rsidR="008C4671" w:rsidRPr="008F2C6B" w:rsidTr="008C4671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C4671" w:rsidRDefault="008C4671"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  <w:r w:rsidRPr="00C53D3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8C4671" w:rsidP="008C4671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C46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Ismailia</w:t>
            </w:r>
          </w:p>
        </w:tc>
      </w:tr>
      <w:tr w:rsidR="008C4671" w:rsidRPr="008F2C6B" w:rsidTr="008C4671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C4671" w:rsidRDefault="008C4671"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  <w:r w:rsidRPr="00C53D3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8C4671" w:rsidP="008C4671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Daqahlyia</w:t>
            </w:r>
            <w:proofErr w:type="spellEnd"/>
          </w:p>
        </w:tc>
      </w:tr>
      <w:tr w:rsidR="008C4671" w:rsidRPr="008F2C6B" w:rsidTr="008C4671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C4671" w:rsidRDefault="008C4671"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  <w:r w:rsidRPr="00C53D3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8C4671" w:rsidP="008C4671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bidi="ar-EG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Sharqyia</w:t>
            </w:r>
            <w:proofErr w:type="spellEnd"/>
          </w:p>
        </w:tc>
      </w:tr>
      <w:tr w:rsidR="008C4671" w:rsidRPr="008F2C6B" w:rsidTr="008C4671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C4671" w:rsidRDefault="00717F12"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  <w:r w:rsidR="008C4671" w:rsidRPr="00C53D3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8C4671" w:rsidP="008C4671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bidi="ar-EG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bidi="ar-EG"/>
              </w:rPr>
              <w:t>Gharbyia</w:t>
            </w:r>
            <w:proofErr w:type="spellEnd"/>
          </w:p>
        </w:tc>
      </w:tr>
      <w:tr w:rsidR="008C4671" w:rsidRPr="008F2C6B" w:rsidTr="008C4671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C4671" w:rsidRDefault="008C4671"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C53D3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8C4671" w:rsidP="008C4671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Kafr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Al-Sheikh</w:t>
            </w:r>
          </w:p>
        </w:tc>
      </w:tr>
      <w:tr w:rsidR="008C4671" w:rsidRPr="008F2C6B" w:rsidTr="008C4671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C4671" w:rsidRDefault="008C4671"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C53D3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8C4671" w:rsidP="008C4671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Aswan</w:t>
            </w:r>
          </w:p>
        </w:tc>
      </w:tr>
      <w:tr w:rsidR="008C4671" w:rsidRPr="008F2C6B" w:rsidTr="008C4671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C4671" w:rsidRDefault="008C4671"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C53D3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8C4671" w:rsidP="008C4671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Suez</w:t>
            </w:r>
          </w:p>
        </w:tc>
      </w:tr>
      <w:tr w:rsidR="008C4671" w:rsidRPr="008F2C6B" w:rsidTr="008C4671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C4671" w:rsidRDefault="008C4671"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C53D3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8C4671" w:rsidP="008C4671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Beheira</w:t>
            </w:r>
            <w:proofErr w:type="spellEnd"/>
          </w:p>
        </w:tc>
      </w:tr>
      <w:tr w:rsidR="008C4671" w:rsidRPr="008F2C6B" w:rsidTr="008C4671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C4671" w:rsidRDefault="008C4671"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C53D3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8C4671" w:rsidP="008C4671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bidi="ar-EG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Fayoum</w:t>
            </w:r>
            <w:proofErr w:type="spellEnd"/>
          </w:p>
        </w:tc>
      </w:tr>
    </w:tbl>
    <w:p w:rsidR="008F2C6B" w:rsidRDefault="008F2C6B" w:rsidP="008C4671">
      <w:pPr>
        <w:bidi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9814E1" w:rsidRPr="008F2C6B" w:rsidRDefault="009814E1" w:rsidP="009814E1">
      <w:pPr>
        <w:bidi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w:lastRenderedPageBreak/>
        <w:drawing>
          <wp:inline distT="0" distB="0" distL="0" distR="0">
            <wp:extent cx="5274310" cy="3165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F12" w:rsidRPr="00B37F70" w:rsidRDefault="00717F12" w:rsidP="00717F12">
      <w:pPr>
        <w:bidi w:val="0"/>
        <w:spacing w:after="24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Fourth:</w:t>
      </w:r>
      <w:r w:rsidRPr="00B37F70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 xml:space="preserve"> The geographical distribution of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Social</w:t>
      </w:r>
      <w:r w:rsidRPr="00B37F70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 xml:space="preserve"> protests:</w:t>
      </w:r>
    </w:p>
    <w:p w:rsidR="00717F12" w:rsidRDefault="00717F12" w:rsidP="00717F12">
      <w:pPr>
        <w:bidi w:val="0"/>
        <w:spacing w:after="24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37F70">
        <w:rPr>
          <w:rFonts w:asciiTheme="majorHAnsi" w:eastAsia="Times New Roman" w:hAnsiTheme="majorHAnsi" w:cs="Times New Roman"/>
          <w:sz w:val="24"/>
          <w:szCs w:val="24"/>
        </w:rPr>
        <w:t>Cairo governorate topped the list of governorates in terms of the number of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social protests with 7 protests being monitored, followed by Giza with 5 protests</w:t>
      </w:r>
      <w:r w:rsidRPr="008C4671">
        <w:rPr>
          <w:rFonts w:asciiTheme="majorHAnsi" w:eastAsia="Times New Roman" w:hAnsiTheme="majorHAnsi" w:cs="Times New Roman"/>
          <w:sz w:val="24"/>
          <w:szCs w:val="24"/>
        </w:rPr>
        <w:t xml:space="preserve">, followed by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Alexandria,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Sharqyia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Qaluobyia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, and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Gharbyia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C4671">
        <w:rPr>
          <w:rFonts w:asciiTheme="majorHAnsi" w:eastAsia="Times New Roman" w:hAnsiTheme="majorHAnsi" w:cs="Times New Roman"/>
          <w:sz w:val="24"/>
          <w:szCs w:val="24"/>
        </w:rPr>
        <w:t>governorate</w:t>
      </w:r>
      <w:r>
        <w:rPr>
          <w:rFonts w:asciiTheme="majorHAnsi" w:eastAsia="Times New Roman" w:hAnsiTheme="majorHAnsi" w:cs="Times New Roman"/>
          <w:sz w:val="24"/>
          <w:szCs w:val="24"/>
        </w:rPr>
        <w:t>s</w:t>
      </w:r>
      <w:r w:rsidRPr="008C4671">
        <w:rPr>
          <w:rFonts w:asciiTheme="majorHAnsi" w:eastAsia="Times New Roman" w:hAnsiTheme="majorHAnsi" w:cs="Times New Roman"/>
          <w:sz w:val="24"/>
          <w:szCs w:val="24"/>
        </w:rPr>
        <w:t xml:space="preserve"> with </w:t>
      </w:r>
      <w:r>
        <w:rPr>
          <w:rFonts w:asciiTheme="majorHAnsi" w:eastAsia="Times New Roman" w:hAnsiTheme="majorHAnsi" w:cs="Times New Roman"/>
          <w:sz w:val="24"/>
          <w:szCs w:val="24"/>
        </w:rPr>
        <w:t>three</w:t>
      </w:r>
      <w:r w:rsidRPr="008C4671">
        <w:rPr>
          <w:rFonts w:asciiTheme="majorHAnsi" w:eastAsia="Times New Roman" w:hAnsiTheme="majorHAnsi" w:cs="Times New Roman"/>
          <w:sz w:val="24"/>
          <w:szCs w:val="24"/>
        </w:rPr>
        <w:t xml:space="preserve"> protests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each</w:t>
      </w:r>
      <w:r w:rsidRPr="008C4671">
        <w:rPr>
          <w:rFonts w:asciiTheme="majorHAnsi" w:eastAsia="Times New Roman" w:hAnsiTheme="majorHAnsi" w:cs="Times New Roman"/>
          <w:sz w:val="24"/>
          <w:szCs w:val="24"/>
        </w:rPr>
        <w:t>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Then came in the fourth and final place the following governorates with 1 protest monitored in each of them: Aswan,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Minya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Asuit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, The Red Sea, Damietta,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Fayoum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Sohag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Daqahlyia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Beheira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, and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Menoufia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>, with 1 protest monitored in each of them.</w:t>
      </w:r>
    </w:p>
    <w:p w:rsidR="00717F12" w:rsidRDefault="00717F12" w:rsidP="00717F12">
      <w:pPr>
        <w:bidi w:val="0"/>
        <w:spacing w:after="24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The following table illustrates the </w:t>
      </w:r>
      <w:r w:rsidRPr="008C467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geographical distribution of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social </w:t>
      </w:r>
      <w:r w:rsidRPr="008C4671">
        <w:rPr>
          <w:rFonts w:asciiTheme="majorHAnsi" w:eastAsia="Times New Roman" w:hAnsiTheme="majorHAnsi" w:cs="Times New Roman"/>
          <w:color w:val="000000"/>
          <w:sz w:val="24"/>
          <w:szCs w:val="24"/>
        </w:rPr>
        <w:t>protests: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1277"/>
      </w:tblGrid>
      <w:tr w:rsidR="00717F12" w:rsidRPr="008F2C6B" w:rsidTr="00717F12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7F12" w:rsidP="00A210DE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7F12" w:rsidP="00A210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Cairo </w:t>
            </w:r>
          </w:p>
        </w:tc>
      </w:tr>
      <w:tr w:rsidR="00717F12" w:rsidRPr="008F2C6B" w:rsidTr="00717F12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7F12" w:rsidP="00A210DE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bidi="ar-EG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ar-EG"/>
              </w:rPr>
              <w:t>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7F12" w:rsidP="00A210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bidi="ar-EG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bidi="ar-EG"/>
              </w:rPr>
              <w:t xml:space="preserve">Giza </w:t>
            </w:r>
          </w:p>
        </w:tc>
      </w:tr>
      <w:tr w:rsidR="00717F12" w:rsidRPr="008F2C6B" w:rsidTr="00717F12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7F12" w:rsidP="00A210DE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2%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7F12" w:rsidP="00A210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Alexandria </w:t>
            </w:r>
          </w:p>
        </w:tc>
      </w:tr>
      <w:tr w:rsidR="00717F12" w:rsidRPr="008F2C6B" w:rsidTr="00717F12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7F12" w:rsidP="00A210DE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7F12" w:rsidP="00A210DE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717F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Sharqyia</w:t>
            </w:r>
            <w:proofErr w:type="spellEnd"/>
          </w:p>
        </w:tc>
      </w:tr>
      <w:tr w:rsidR="00717F12" w:rsidRPr="008F2C6B" w:rsidTr="00717F12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717F12" w:rsidRDefault="00717F12" w:rsidP="00A210DE"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  <w:r w:rsidRPr="00C53D3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7F12" w:rsidP="00A210DE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717F12">
              <w:rPr>
                <w:rFonts w:asciiTheme="majorHAnsi" w:eastAsia="Times New Roman" w:hAnsiTheme="majorHAnsi" w:cs="Times New Roman"/>
                <w:sz w:val="24"/>
                <w:szCs w:val="24"/>
              </w:rPr>
              <w:t>Qaluobyia</w:t>
            </w:r>
            <w:proofErr w:type="spellEnd"/>
          </w:p>
        </w:tc>
      </w:tr>
      <w:tr w:rsidR="00717F12" w:rsidRPr="008F2C6B" w:rsidTr="00717F12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717F12" w:rsidRDefault="00717F12" w:rsidP="00A210DE"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  <w:r w:rsidRPr="00C53D3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7F12" w:rsidP="00A210DE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717F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Gharbyia</w:t>
            </w:r>
            <w:proofErr w:type="spellEnd"/>
          </w:p>
        </w:tc>
      </w:tr>
      <w:tr w:rsidR="00717F12" w:rsidRPr="008F2C6B" w:rsidTr="00717F12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717F12" w:rsidRDefault="00717F12" w:rsidP="00A210DE"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  <w:r w:rsidRPr="00C53D3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7F12" w:rsidP="00A210DE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bidi="ar-EG"/>
              </w:rPr>
            </w:pPr>
            <w:r w:rsidRPr="00717F12">
              <w:rPr>
                <w:rFonts w:asciiTheme="majorHAnsi" w:eastAsia="Times New Roman" w:hAnsiTheme="majorHAnsi" w:cs="Times New Roman"/>
                <w:sz w:val="24"/>
                <w:szCs w:val="24"/>
                <w:lang w:bidi="ar-EG"/>
              </w:rPr>
              <w:t>Aswan</w:t>
            </w:r>
          </w:p>
        </w:tc>
      </w:tr>
      <w:tr w:rsidR="00717F12" w:rsidRPr="008F2C6B" w:rsidTr="00717F12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717F12" w:rsidRDefault="00717F12" w:rsidP="00A210DE"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  <w:r w:rsidRPr="00C53D3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7F12" w:rsidP="00A210DE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bidi="ar-EG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bidi="ar-EG"/>
              </w:rPr>
              <w:t>Minya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bidi="ar-EG"/>
              </w:rPr>
              <w:t xml:space="preserve"> </w:t>
            </w:r>
          </w:p>
        </w:tc>
      </w:tr>
      <w:tr w:rsidR="00717F12" w:rsidRPr="008F2C6B" w:rsidTr="00717F12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717F12" w:rsidRDefault="00717F12" w:rsidP="00A210DE"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C53D3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7F12" w:rsidP="00A210DE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Asuit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7F12" w:rsidRPr="008F2C6B" w:rsidTr="00717F12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717F12" w:rsidRDefault="00717F12" w:rsidP="00A210DE"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C53D3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7F12" w:rsidP="00A210DE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Red Sea </w:t>
            </w:r>
          </w:p>
        </w:tc>
      </w:tr>
      <w:tr w:rsidR="00717F12" w:rsidRPr="008F2C6B" w:rsidTr="00717F12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717F12" w:rsidRDefault="00717F12" w:rsidP="00A210DE"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1</w:t>
            </w:r>
            <w:r w:rsidRPr="00C53D3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717F12" w:rsidRDefault="00717F12" w:rsidP="00A210DE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7F12">
              <w:rPr>
                <w:rFonts w:asciiTheme="majorHAnsi" w:eastAsia="Times New Roman" w:hAnsiTheme="majorHAnsi" w:cs="Times New Roman"/>
                <w:sz w:val="24"/>
                <w:szCs w:val="24"/>
              </w:rPr>
              <w:t>Damietta</w:t>
            </w:r>
          </w:p>
        </w:tc>
      </w:tr>
      <w:tr w:rsidR="00717F12" w:rsidRPr="008F2C6B" w:rsidTr="00717F12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717F12" w:rsidRDefault="00717F12" w:rsidP="00A210DE"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C53D3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7F12" w:rsidP="00A210DE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717F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Fayoum</w:t>
            </w:r>
            <w:proofErr w:type="spellEnd"/>
          </w:p>
        </w:tc>
      </w:tr>
      <w:tr w:rsidR="00717F12" w:rsidRPr="008F2C6B" w:rsidTr="00717F12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717F12" w:rsidRDefault="00717F12" w:rsidP="00A210DE"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C53D3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7F12" w:rsidP="00A210DE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Sohag</w:t>
            </w:r>
            <w:proofErr w:type="spellEnd"/>
          </w:p>
        </w:tc>
      </w:tr>
      <w:tr w:rsidR="00717F12" w:rsidRPr="008F2C6B" w:rsidTr="00717F12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717F12" w:rsidRDefault="00717F12" w:rsidP="00A210DE"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C53D3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7F12" w:rsidP="00717F12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bidi="ar-EG"/>
              </w:rPr>
            </w:pPr>
            <w:proofErr w:type="spellStart"/>
            <w:r w:rsidRPr="00717F12">
              <w:rPr>
                <w:rFonts w:asciiTheme="majorHAnsi" w:eastAsia="Times New Roman" w:hAnsiTheme="majorHAnsi" w:cs="Times New Roman"/>
                <w:sz w:val="24"/>
                <w:szCs w:val="24"/>
                <w:lang w:bidi="ar-EG"/>
              </w:rPr>
              <w:t>Daqahlyia</w:t>
            </w:r>
            <w:proofErr w:type="spellEnd"/>
          </w:p>
        </w:tc>
      </w:tr>
      <w:tr w:rsidR="00717F12" w:rsidRPr="008F2C6B" w:rsidTr="00717F12">
        <w:trPr>
          <w:trHeight w:val="386"/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717F12" w:rsidRDefault="00717F12" w:rsidP="00A210DE"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C53D3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717F12" w:rsidRPr="00717F12" w:rsidRDefault="00717F12" w:rsidP="00A210DE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bidi="ar-EG"/>
              </w:rPr>
            </w:pPr>
            <w:proofErr w:type="spellStart"/>
            <w:r w:rsidRPr="00717F12">
              <w:rPr>
                <w:rFonts w:asciiTheme="majorHAnsi" w:eastAsia="Times New Roman" w:hAnsiTheme="majorHAnsi" w:cs="Times New Roman"/>
                <w:sz w:val="24"/>
                <w:szCs w:val="24"/>
                <w:lang w:bidi="ar-EG"/>
              </w:rPr>
              <w:t>Beheira</w:t>
            </w:r>
            <w:proofErr w:type="spellEnd"/>
          </w:p>
        </w:tc>
      </w:tr>
      <w:tr w:rsidR="00717F12" w:rsidRPr="008F2C6B" w:rsidTr="00717F12">
        <w:trPr>
          <w:trHeight w:val="386"/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717F12" w:rsidRDefault="00717F12" w:rsidP="00A210DE"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C53D3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717F12" w:rsidRPr="00717F12" w:rsidRDefault="00717F12" w:rsidP="00A210DE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bidi="ar-EG"/>
              </w:rPr>
            </w:pPr>
            <w:proofErr w:type="spellStart"/>
            <w:r w:rsidRPr="00717F12">
              <w:rPr>
                <w:rFonts w:asciiTheme="majorHAnsi" w:eastAsia="Times New Roman" w:hAnsiTheme="majorHAnsi" w:cs="Times New Roman"/>
                <w:sz w:val="24"/>
                <w:szCs w:val="24"/>
                <w:lang w:bidi="ar-EG"/>
              </w:rPr>
              <w:t>Menoufia</w:t>
            </w:r>
            <w:proofErr w:type="spellEnd"/>
          </w:p>
        </w:tc>
      </w:tr>
    </w:tbl>
    <w:p w:rsidR="00717F12" w:rsidRDefault="009814E1" w:rsidP="00717F12">
      <w:pPr>
        <w:bidi w:val="0"/>
        <w:spacing w:after="24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drawing>
          <wp:inline distT="0" distB="0" distL="0" distR="0">
            <wp:extent cx="5274310" cy="3165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F12" w:rsidRPr="0058235C" w:rsidRDefault="00717F12" w:rsidP="00715E04">
      <w:pPr>
        <w:bidi w:val="0"/>
        <w:spacing w:after="24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</w:pPr>
      <w:r w:rsidRPr="0058235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Fifth: The sectoral distribution of labor and professional protests</w:t>
      </w:r>
    </w:p>
    <w:p w:rsidR="0058235C" w:rsidRDefault="0058235C" w:rsidP="0058235C">
      <w:pPr>
        <w:bidi w:val="0"/>
        <w:spacing w:after="24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58235C">
        <w:rPr>
          <w:rFonts w:asciiTheme="majorHAnsi" w:eastAsia="Times New Roman" w:hAnsiTheme="majorHAnsi" w:cs="Times New Roman"/>
          <w:color w:val="000000"/>
          <w:sz w:val="24"/>
          <w:szCs w:val="24"/>
        </w:rPr>
        <w:t>The metallurgical sector topped the list of protesting sectors during the period covered by the report with six protests</w:t>
      </w:r>
      <w:r w:rsidR="00715E0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being monitored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; </w:t>
      </w:r>
      <w:r w:rsidR="00715E0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and this </w:t>
      </w:r>
      <w:r w:rsidRPr="0058235C">
        <w:rPr>
          <w:rFonts w:asciiTheme="majorHAnsi" w:eastAsia="Times New Roman" w:hAnsiTheme="majorHAnsi" w:cs="Times New Roman"/>
          <w:color w:val="000000"/>
          <w:sz w:val="24"/>
          <w:szCs w:val="24"/>
        </w:rPr>
        <w:t>due to the low wages and salaries of workers in the factories covered by the sector and their repeated demands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to apply t</w:t>
      </w:r>
      <w:r w:rsidRPr="0058235C">
        <w:rPr>
          <w:rFonts w:asciiTheme="majorHAnsi" w:eastAsia="Times New Roman" w:hAnsiTheme="majorHAnsi" w:cs="Times New Roman"/>
          <w:color w:val="000000"/>
          <w:sz w:val="24"/>
          <w:szCs w:val="24"/>
        </w:rPr>
        <w:t>he minimum wage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. The second sector is represented in the insurance</w:t>
      </w:r>
      <w:r w:rsidRPr="0058235C">
        <w:rPr>
          <w:rFonts w:asciiTheme="majorHAnsi" w:eastAsia="Times New Roman" w:hAnsiTheme="majorHAnsi" w:cs="Times New Roman"/>
          <w:color w:val="000000"/>
          <w:sz w:val="24"/>
          <w:szCs w:val="24"/>
        </w:rPr>
        <w:t>, banking and transportation sector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with 5 protests each, followed by</w:t>
      </w:r>
      <w:r w:rsidRPr="0058235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the sectors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of: (</w:t>
      </w:r>
      <w:r w:rsidRPr="0058235C">
        <w:rPr>
          <w:rFonts w:asciiTheme="majorHAnsi" w:eastAsia="Times New Roman" w:hAnsiTheme="majorHAnsi" w:cs="Times New Roman"/>
          <w:color w:val="000000"/>
          <w:sz w:val="24"/>
          <w:szCs w:val="24"/>
        </w:rPr>
        <w:t>tourism, housing, ed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ucation and scientific research), with 4 protests each.  Then came the (</w:t>
      </w:r>
      <w:r w:rsidRPr="0058235C">
        <w:rPr>
          <w:rFonts w:asciiTheme="majorHAnsi" w:eastAsia="Times New Roman" w:hAnsiTheme="majorHAnsi" w:cs="Times New Roman"/>
          <w:color w:val="000000"/>
          <w:sz w:val="24"/>
          <w:szCs w:val="24"/>
        </w:rPr>
        <w:t>health, localities and services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) sector in the fourth place</w:t>
      </w:r>
      <w:r w:rsidRPr="0058235C"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with 3</w:t>
      </w:r>
      <w:r w:rsidRPr="0058235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protests per sector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, followed by the (</w:t>
      </w:r>
      <w:r w:rsidRPr="0058235C">
        <w:rPr>
          <w:rFonts w:asciiTheme="majorHAnsi" w:eastAsia="Times New Roman" w:hAnsiTheme="majorHAnsi" w:cs="Times New Roman"/>
          <w:color w:val="000000"/>
          <w:sz w:val="24"/>
          <w:szCs w:val="24"/>
        </w:rPr>
        <w:t>civil society and employees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) sector- in fifth place-</w:t>
      </w:r>
      <w:r w:rsidRPr="0058235C">
        <w:rPr>
          <w:rFonts w:asciiTheme="majorHAnsi" w:eastAsia="Times New Roman" w:hAnsiTheme="majorHAnsi" w:cs="Times New Roman"/>
          <w:color w:val="000000"/>
          <w:sz w:val="24"/>
          <w:szCs w:val="24"/>
        </w:rPr>
        <w:t>with two protests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each. The following sectors then came at the end of the list with one protest monitored in each of them: </w:t>
      </w:r>
      <w:r w:rsidRPr="0058235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trade, sports, textile, construction and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timber construction, c</w:t>
      </w:r>
      <w:r w:rsidRPr="0058235C">
        <w:rPr>
          <w:rFonts w:asciiTheme="majorHAnsi" w:eastAsia="Times New Roman" w:hAnsiTheme="majorHAnsi" w:cs="Times New Roman"/>
          <w:color w:val="000000"/>
          <w:sz w:val="24"/>
          <w:szCs w:val="24"/>
        </w:rPr>
        <w:t>ontracting, chemical industries, food industries,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and telecommunications. </w:t>
      </w:r>
    </w:p>
    <w:p w:rsidR="008F2C6B" w:rsidRPr="008F2C6B" w:rsidRDefault="0058235C" w:rsidP="00715E04">
      <w:pPr>
        <w:bidi w:val="0"/>
        <w:spacing w:after="24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 xml:space="preserve">The following chart shows the </w:t>
      </w:r>
      <w:r w:rsidRPr="0058235C">
        <w:rPr>
          <w:rFonts w:asciiTheme="majorHAnsi" w:eastAsia="Times New Roman" w:hAnsiTheme="majorHAnsi" w:cs="Times New Roman"/>
          <w:color w:val="000000"/>
          <w:sz w:val="24"/>
          <w:szCs w:val="24"/>
        </w:rPr>
        <w:t>sectoral distribution of the labor and professional protests</w:t>
      </w:r>
      <w:r w:rsidR="008F2C6B" w:rsidRPr="008F2C6B">
        <w:rPr>
          <w:rFonts w:asciiTheme="majorHAnsi" w:eastAsia="Times New Roman" w:hAnsiTheme="majorHAnsi" w:cs="Times New Roman"/>
          <w:sz w:val="24"/>
          <w:szCs w:val="24"/>
        </w:rPr>
        <w:br/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"/>
        <w:gridCol w:w="3498"/>
      </w:tblGrid>
      <w:tr w:rsidR="008F2C6B" w:rsidRPr="008F2C6B" w:rsidTr="008F2C6B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715E04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0D54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bidi="ar-EG"/>
              </w:rPr>
              <w:t>M</w:t>
            </w:r>
            <w:r w:rsidRPr="00715E04">
              <w:rPr>
                <w:rFonts w:asciiTheme="majorHAnsi" w:eastAsia="Times New Roman" w:hAnsiTheme="majorHAnsi" w:cs="Times New Roman"/>
                <w:sz w:val="24"/>
                <w:szCs w:val="24"/>
                <w:lang w:bidi="ar-EG"/>
              </w:rPr>
              <w:t>etallurgical sector</w:t>
            </w:r>
          </w:p>
        </w:tc>
      </w:tr>
      <w:tr w:rsidR="008F2C6B" w:rsidRPr="008F2C6B" w:rsidTr="008F2C6B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715E04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bidi="ar-EG"/>
              </w:rPr>
            </w:pPr>
            <w:r w:rsidRPr="00715E0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Insurance and banking</w:t>
            </w:r>
          </w:p>
        </w:tc>
      </w:tr>
      <w:tr w:rsidR="008F2C6B" w:rsidRPr="008F2C6B" w:rsidTr="008F2C6B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715E04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</w:t>
            </w:r>
            <w:r w:rsidRPr="00715E0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ransportation</w:t>
            </w:r>
          </w:p>
        </w:tc>
      </w:tr>
      <w:tr w:rsidR="008F2C6B" w:rsidRPr="008F2C6B" w:rsidTr="008F2C6B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715E04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</w:t>
            </w:r>
            <w:r w:rsidRPr="00715E0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ourism</w:t>
            </w:r>
          </w:p>
        </w:tc>
      </w:tr>
      <w:tr w:rsidR="008F2C6B" w:rsidRPr="008F2C6B" w:rsidTr="008F2C6B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715E04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bidi="ar-EG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ar-EG"/>
              </w:rPr>
              <w:t xml:space="preserve">Housing </w:t>
            </w:r>
          </w:p>
        </w:tc>
      </w:tr>
      <w:tr w:rsidR="008F2C6B" w:rsidRPr="008F2C6B" w:rsidTr="008F2C6B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715E04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715E0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5E04">
              <w:rPr>
                <w:rFonts w:asciiTheme="majorHAnsi" w:eastAsia="Times New Roman" w:hAnsiTheme="majorHAnsi" w:cs="Times New Roman"/>
                <w:sz w:val="24"/>
                <w:szCs w:val="24"/>
              </w:rPr>
              <w:t>Education and scientific research</w:t>
            </w:r>
          </w:p>
        </w:tc>
      </w:tr>
      <w:tr w:rsidR="008F2C6B" w:rsidRPr="008F2C6B" w:rsidTr="008F2C6B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715E04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Health</w:t>
            </w:r>
          </w:p>
        </w:tc>
      </w:tr>
      <w:tr w:rsidR="008F2C6B" w:rsidRPr="008F2C6B" w:rsidTr="008F2C6B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715E04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5E0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Localities and services</w:t>
            </w:r>
          </w:p>
        </w:tc>
      </w:tr>
      <w:tr w:rsidR="008F2C6B" w:rsidRPr="008F2C6B" w:rsidTr="008F2C6B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715E04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5E0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Employees and civil society</w:t>
            </w:r>
          </w:p>
        </w:tc>
      </w:tr>
      <w:tr w:rsidR="008F2C6B" w:rsidRPr="008F2C6B" w:rsidTr="008F2C6B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715E04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715E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Trading</w:t>
            </w:r>
          </w:p>
        </w:tc>
      </w:tr>
      <w:tr w:rsidR="008F2C6B" w:rsidRPr="008F2C6B" w:rsidTr="008F2C6B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715E04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rtl/>
                <w:lang w:bidi="ar-EG"/>
              </w:rPr>
            </w:pPr>
            <w:r w:rsidRPr="00715E0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Sports</w:t>
            </w:r>
          </w:p>
        </w:tc>
      </w:tr>
      <w:tr w:rsidR="008F2C6B" w:rsidRPr="008F2C6B" w:rsidTr="008F2C6B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715E04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5E0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Textile</w:t>
            </w:r>
          </w:p>
        </w:tc>
      </w:tr>
      <w:tr w:rsidR="008F2C6B" w:rsidRPr="008F2C6B" w:rsidTr="008F2C6B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715E04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5E0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Construction and timber</w:t>
            </w:r>
          </w:p>
        </w:tc>
      </w:tr>
      <w:tr w:rsidR="008F2C6B" w:rsidRPr="008F2C6B" w:rsidTr="008F2C6B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715E04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5E0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Contracting</w:t>
            </w:r>
          </w:p>
        </w:tc>
      </w:tr>
      <w:tr w:rsidR="008F2C6B" w:rsidRPr="008F2C6B" w:rsidTr="008F2C6B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715E04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5E04">
              <w:rPr>
                <w:rFonts w:asciiTheme="majorHAnsi" w:eastAsia="Times New Roman" w:hAnsiTheme="majorHAnsi" w:cs="Times New Roman"/>
                <w:sz w:val="24"/>
                <w:szCs w:val="24"/>
              </w:rPr>
              <w:t>Chemical industries</w:t>
            </w:r>
          </w:p>
        </w:tc>
      </w:tr>
      <w:tr w:rsidR="008F2C6B" w:rsidRPr="008F2C6B" w:rsidTr="008F2C6B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715E04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rtl/>
                <w:lang w:bidi="ar-EG"/>
              </w:rPr>
            </w:pPr>
            <w:r w:rsidRPr="00715E0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Justice</w:t>
            </w:r>
          </w:p>
        </w:tc>
      </w:tr>
      <w:tr w:rsidR="008F2C6B" w:rsidRPr="008F2C6B" w:rsidTr="008F2C6B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715E04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5E0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Food Industry</w:t>
            </w:r>
          </w:p>
        </w:tc>
      </w:tr>
      <w:tr w:rsidR="008F2C6B" w:rsidRPr="008F2C6B" w:rsidTr="008F2C6B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715E04">
            <w:pPr>
              <w:bidi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715E0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15E0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Telecommunications</w:t>
            </w:r>
          </w:p>
        </w:tc>
      </w:tr>
    </w:tbl>
    <w:p w:rsidR="00715E04" w:rsidRDefault="009814E1" w:rsidP="008F2C6B">
      <w:pPr>
        <w:spacing w:after="1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5274310" cy="31654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E04" w:rsidRPr="0058235C" w:rsidRDefault="00715E04" w:rsidP="00715E04">
      <w:pPr>
        <w:bidi w:val="0"/>
        <w:spacing w:after="24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Sixth</w:t>
      </w:r>
      <w:r w:rsidRPr="0058235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 xml:space="preserve">: The sectoral distribution of 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social</w:t>
      </w:r>
      <w:r w:rsidRPr="0058235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 xml:space="preserve"> protests</w:t>
      </w:r>
    </w:p>
    <w:p w:rsidR="000D54D4" w:rsidRDefault="00715E04" w:rsidP="000D54D4">
      <w:pPr>
        <w:bidi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bidi="ar-EG"/>
        </w:rPr>
      </w:pPr>
      <w:r w:rsidRPr="0058235C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 xml:space="preserve">The </w:t>
      </w:r>
      <w:r w:rsidRPr="00715E0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education and scientific research sector </w:t>
      </w:r>
      <w:r w:rsidRPr="0058235C">
        <w:rPr>
          <w:rFonts w:asciiTheme="majorHAnsi" w:eastAsia="Times New Roman" w:hAnsiTheme="majorHAnsi" w:cs="Times New Roman"/>
          <w:color w:val="000000"/>
          <w:sz w:val="24"/>
          <w:szCs w:val="24"/>
        </w:rPr>
        <w:t>topped the list of protesting sectors during the period covered by the report with six protests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being monitored; and this is</w:t>
      </w:r>
      <w:r w:rsidR="000D54D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due to</w:t>
      </w:r>
      <w:r w:rsidR="000D54D4" w:rsidRPr="000D54D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students and tea</w:t>
      </w:r>
      <w:r w:rsidR="000D54D4">
        <w:rPr>
          <w:rFonts w:asciiTheme="majorHAnsi" w:eastAsia="Times New Roman" w:hAnsiTheme="majorHAnsi" w:cs="Times New Roman"/>
          <w:color w:val="000000"/>
          <w:sz w:val="24"/>
          <w:szCs w:val="24"/>
        </w:rPr>
        <w:t>chers ’fear of taking the "</w:t>
      </w:r>
      <w:proofErr w:type="spellStart"/>
      <w:r w:rsidR="000D54D4">
        <w:rPr>
          <w:rFonts w:asciiTheme="majorHAnsi" w:eastAsia="Times New Roman" w:hAnsiTheme="majorHAnsi" w:cs="Times New Roman"/>
          <w:color w:val="000000"/>
          <w:sz w:val="24"/>
          <w:szCs w:val="24"/>
        </w:rPr>
        <w:t>Thanawayia</w:t>
      </w:r>
      <w:proofErr w:type="spellEnd"/>
      <w:r w:rsidR="000D54D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0D54D4">
        <w:rPr>
          <w:rFonts w:asciiTheme="majorHAnsi" w:eastAsia="Times New Roman" w:hAnsiTheme="majorHAnsi" w:cs="Times New Roman"/>
          <w:color w:val="000000"/>
          <w:sz w:val="24"/>
          <w:szCs w:val="24"/>
        </w:rPr>
        <w:t>Amma</w:t>
      </w:r>
      <w:proofErr w:type="spellEnd"/>
      <w:r w:rsidR="000D54D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" (high school) final exams owing to </w:t>
      </w:r>
      <w:r w:rsidR="000D54D4" w:rsidRPr="000D54D4">
        <w:rPr>
          <w:rFonts w:asciiTheme="majorHAnsi" w:eastAsia="Times New Roman" w:hAnsiTheme="majorHAnsi" w:cs="Times New Roman"/>
          <w:color w:val="000000"/>
          <w:sz w:val="24"/>
          <w:szCs w:val="24"/>
        </w:rPr>
        <w:t>the spread of the</w:t>
      </w:r>
      <w:r w:rsidR="000D54D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0D54D4" w:rsidRPr="000D54D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Coronavirus </w:t>
      </w:r>
      <w:r w:rsidR="000D54D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pandemic.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The second sector is represented in the </w:t>
      </w:r>
      <w:r w:rsidR="000D54D4">
        <w:rPr>
          <w:rFonts w:asciiTheme="majorHAnsi" w:eastAsia="Times New Roman" w:hAnsiTheme="majorHAnsi" w:cs="Times New Roman"/>
          <w:color w:val="000000"/>
          <w:sz w:val="24"/>
          <w:szCs w:val="24"/>
        </w:rPr>
        <w:t>"</w:t>
      </w:r>
      <w:r w:rsidR="000D54D4" w:rsidRPr="000D54D4">
        <w:rPr>
          <w:rFonts w:asciiTheme="majorHAnsi" w:eastAsia="Times New Roman" w:hAnsiTheme="majorHAnsi" w:cs="Times New Roman"/>
          <w:color w:val="000000"/>
          <w:sz w:val="24"/>
          <w:szCs w:val="24"/>
        </w:rPr>
        <w:t>employee</w:t>
      </w:r>
      <w:r w:rsidR="000D54D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 and the civil society" sector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with 5 protests each, followed by</w:t>
      </w:r>
      <w:r w:rsidRPr="0058235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the </w:t>
      </w:r>
      <w:r w:rsidR="000D54D4">
        <w:rPr>
          <w:rFonts w:asciiTheme="majorHAnsi" w:eastAsia="Times New Roman" w:hAnsiTheme="majorHAnsi" w:cs="Times New Roman"/>
          <w:sz w:val="24"/>
          <w:szCs w:val="24"/>
          <w:lang w:bidi="ar-EG"/>
        </w:rPr>
        <w:t>M</w:t>
      </w:r>
      <w:r w:rsidR="000D54D4" w:rsidRPr="00715E04">
        <w:rPr>
          <w:rFonts w:asciiTheme="majorHAnsi" w:eastAsia="Times New Roman" w:hAnsiTheme="majorHAnsi" w:cs="Times New Roman"/>
          <w:sz w:val="24"/>
          <w:szCs w:val="24"/>
          <w:lang w:bidi="ar-EG"/>
        </w:rPr>
        <w:t>etallurgical sector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with 4 protests.  Then </w:t>
      </w:r>
      <w:r w:rsidR="000D54D4">
        <w:rPr>
          <w:rFonts w:asciiTheme="majorHAnsi" w:eastAsia="Times New Roman" w:hAnsiTheme="majorHAnsi" w:cs="Times New Roman"/>
          <w:color w:val="000000"/>
          <w:sz w:val="24"/>
          <w:szCs w:val="24"/>
        </w:rPr>
        <w:t>came the (housing, insurance and banking) s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ector</w:t>
      </w:r>
      <w:r w:rsidR="000D54D4">
        <w:rPr>
          <w:rFonts w:asciiTheme="majorHAnsi" w:eastAsia="Times New Roman" w:hAnsiTheme="majorHAnsi" w:cs="Times New Roman"/>
          <w:color w:val="000000"/>
          <w:sz w:val="24"/>
          <w:szCs w:val="24"/>
        </w:rPr>
        <w:t>s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in the fourth place</w:t>
      </w:r>
      <w:r w:rsidRPr="0058235C"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with 3</w:t>
      </w:r>
      <w:r w:rsidRPr="0058235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protests per sector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, followed by</w:t>
      </w:r>
      <w:r w:rsidR="000D54D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the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0D54D4">
        <w:rPr>
          <w:rFonts w:asciiTheme="majorHAnsi" w:eastAsia="Times New Roman" w:hAnsiTheme="majorHAnsi" w:cs="Times New Roman"/>
          <w:color w:val="000000"/>
          <w:sz w:val="24"/>
          <w:szCs w:val="24"/>
        </w:rPr>
        <w:t>(</w:t>
      </w:r>
      <w:r w:rsidR="000D54D4" w:rsidRPr="000D54D4">
        <w:rPr>
          <w:rFonts w:asciiTheme="majorHAnsi" w:eastAsia="Times New Roman" w:hAnsiTheme="majorHAnsi" w:cs="Times New Roman"/>
          <w:color w:val="000000"/>
          <w:sz w:val="24"/>
          <w:szCs w:val="24"/>
        </w:rPr>
        <w:t>security, transport and communications, chemical industries) sectors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- in fifth place-</w:t>
      </w:r>
      <w:r w:rsidRPr="0058235C">
        <w:rPr>
          <w:rFonts w:asciiTheme="majorHAnsi" w:eastAsia="Times New Roman" w:hAnsiTheme="majorHAnsi" w:cs="Times New Roman"/>
          <w:color w:val="000000"/>
          <w:sz w:val="24"/>
          <w:szCs w:val="24"/>
        </w:rPr>
        <w:t>with two protests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each. The following sectors then came at the end of the list with one protest monitored in each of them: </w:t>
      </w:r>
      <w:r w:rsidR="000D54D4" w:rsidRPr="000D54D4">
        <w:rPr>
          <w:rFonts w:asciiTheme="majorHAnsi" w:eastAsia="Times New Roman" w:hAnsiTheme="majorHAnsi" w:cs="Times New Roman"/>
          <w:color w:val="000000"/>
          <w:sz w:val="24"/>
          <w:szCs w:val="24"/>
        </w:rPr>
        <w:t>localities and services, contracting and construction, sports</w:t>
      </w:r>
      <w:r w:rsidR="000D54D4">
        <w:rPr>
          <w:rFonts w:asciiTheme="majorHAnsi" w:eastAsia="Times New Roman" w:hAnsiTheme="majorHAnsi" w:cs="Times New Roman"/>
          <w:sz w:val="24"/>
          <w:szCs w:val="24"/>
          <w:lang w:bidi="ar-EG"/>
        </w:rPr>
        <w:t xml:space="preserve">. </w:t>
      </w:r>
    </w:p>
    <w:p w:rsidR="000D54D4" w:rsidRPr="000D54D4" w:rsidRDefault="000D54D4" w:rsidP="000D54D4">
      <w:pPr>
        <w:bidi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bidi="ar-EG"/>
        </w:rPr>
      </w:pPr>
    </w:p>
    <w:p w:rsidR="008F2C6B" w:rsidRPr="008F2C6B" w:rsidRDefault="00715E04" w:rsidP="000D54D4">
      <w:pPr>
        <w:bidi w:val="0"/>
        <w:spacing w:after="24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The following chart shows the </w:t>
      </w:r>
      <w:r w:rsidRPr="0058235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sectoral distribution of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social</w:t>
      </w:r>
      <w:r w:rsidRPr="0058235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protests</w:t>
      </w:r>
      <w:r w:rsidR="008F2C6B" w:rsidRPr="008F2C6B">
        <w:rPr>
          <w:rFonts w:asciiTheme="majorHAnsi" w:eastAsia="Times New Roman" w:hAnsiTheme="majorHAnsi" w:cs="Times New Roman"/>
          <w:sz w:val="24"/>
          <w:szCs w:val="24"/>
        </w:rPr>
        <w:br/>
      </w:r>
      <w:r w:rsidR="008F2C6B" w:rsidRPr="008F2C6B">
        <w:rPr>
          <w:rFonts w:asciiTheme="majorHAnsi" w:eastAsia="Times New Roman" w:hAnsiTheme="majorHAnsi" w:cs="Times New Roman"/>
          <w:sz w:val="24"/>
          <w:szCs w:val="24"/>
        </w:rPr>
        <w:br/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"/>
        <w:gridCol w:w="3564"/>
      </w:tblGrid>
      <w:tr w:rsidR="008F2C6B" w:rsidRPr="008F2C6B" w:rsidTr="000D54D4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0D54D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0D54D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bidi="ar-EG"/>
              </w:rPr>
            </w:pPr>
            <w:r w:rsidRPr="000D54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Education and Scientific Research</w:t>
            </w:r>
          </w:p>
        </w:tc>
      </w:tr>
      <w:tr w:rsidR="008F2C6B" w:rsidRPr="008F2C6B" w:rsidTr="000D54D4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0D54D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0D54D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D54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Employees and civil society </w:t>
            </w:r>
          </w:p>
        </w:tc>
      </w:tr>
      <w:tr w:rsidR="008F2C6B" w:rsidRPr="008F2C6B" w:rsidTr="000D54D4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0D54D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0D54D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bidi="ar-EG"/>
              </w:rPr>
            </w:pPr>
            <w:r w:rsidRPr="000D54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Metallurgical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bidi="ar-EG"/>
              </w:rPr>
              <w:t xml:space="preserve"> Sector</w:t>
            </w:r>
          </w:p>
        </w:tc>
      </w:tr>
      <w:tr w:rsidR="008F2C6B" w:rsidRPr="008F2C6B" w:rsidTr="000D54D4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0D54D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0D54D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D54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Housing </w:t>
            </w:r>
          </w:p>
        </w:tc>
      </w:tr>
      <w:tr w:rsidR="008F2C6B" w:rsidRPr="008F2C6B" w:rsidTr="000D54D4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0D54D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0D54D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D54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Insurance and Banking</w:t>
            </w:r>
          </w:p>
        </w:tc>
      </w:tr>
      <w:tr w:rsidR="008F2C6B" w:rsidRPr="008F2C6B" w:rsidTr="000D54D4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0D54D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0D54D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D54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Security</w:t>
            </w:r>
          </w:p>
        </w:tc>
      </w:tr>
      <w:tr w:rsidR="000D54D4" w:rsidRPr="008F2C6B" w:rsidTr="000D54D4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0D54D4" w:rsidRDefault="000D54D4" w:rsidP="000D54D4">
            <w:pPr>
              <w:jc w:val="center"/>
            </w:pPr>
            <w:r w:rsidRPr="00702A2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0D54D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D54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Transportation</w:t>
            </w:r>
          </w:p>
        </w:tc>
      </w:tr>
      <w:tr w:rsidR="000D54D4" w:rsidRPr="008F2C6B" w:rsidTr="000D54D4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0D54D4" w:rsidRDefault="000D54D4" w:rsidP="000D54D4">
            <w:pPr>
              <w:jc w:val="center"/>
            </w:pPr>
            <w:r w:rsidRPr="00702A2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0D54D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D54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Chemical industries </w:t>
            </w:r>
          </w:p>
        </w:tc>
      </w:tr>
      <w:tr w:rsidR="008F2C6B" w:rsidRPr="008F2C6B" w:rsidTr="000D54D4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0D54D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0D54D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D54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Localities and services</w:t>
            </w:r>
          </w:p>
        </w:tc>
      </w:tr>
      <w:tr w:rsidR="000D54D4" w:rsidRPr="008F2C6B" w:rsidTr="000D54D4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0D54D4" w:rsidP="00A210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0D54D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D54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Contracting and Constructio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0D54D4" w:rsidRPr="008F2C6B" w:rsidTr="000D54D4">
        <w:trPr>
          <w:jc w:val="right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0D54D4" w:rsidP="00A210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3" w:type="dxa"/>
              <w:bottom w:w="55" w:type="dxa"/>
              <w:right w:w="55" w:type="dxa"/>
            </w:tcMar>
            <w:hideMark/>
          </w:tcPr>
          <w:p w:rsidR="008F2C6B" w:rsidRPr="008F2C6B" w:rsidRDefault="000D54D4" w:rsidP="008F2C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rtl/>
                <w:lang w:bidi="ar-EG"/>
              </w:rPr>
            </w:pPr>
            <w:r w:rsidRPr="000D54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Sports</w:t>
            </w:r>
          </w:p>
        </w:tc>
      </w:tr>
    </w:tbl>
    <w:p w:rsidR="008F2C6B" w:rsidRPr="008F2C6B" w:rsidRDefault="008F2C6B" w:rsidP="008F2C6B">
      <w:pPr>
        <w:bidi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21BEE" w:rsidRDefault="009814E1" w:rsidP="008F2C6B">
      <w:pPr>
        <w:spacing w:line="240" w:lineRule="auto"/>
        <w:rPr>
          <w:rFonts w:asciiTheme="majorHAnsi" w:hAnsiTheme="majorHAnsi"/>
          <w:sz w:val="24"/>
          <w:szCs w:val="24"/>
          <w:rtl/>
          <w:lang w:bidi="ar-EG"/>
        </w:rPr>
      </w:pPr>
      <w:r>
        <w:rPr>
          <w:rFonts w:asciiTheme="majorHAnsi" w:hAnsiTheme="majorHAnsi"/>
          <w:noProof/>
          <w:sz w:val="24"/>
          <w:szCs w:val="24"/>
          <w:rtl/>
        </w:rPr>
        <w:lastRenderedPageBreak/>
        <w:drawing>
          <wp:inline distT="0" distB="0" distL="0" distR="0">
            <wp:extent cx="5274310" cy="31654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4D4" w:rsidRPr="008F2C6B" w:rsidRDefault="000D54D4" w:rsidP="000D54D4">
      <w:pPr>
        <w:bidi w:val="0"/>
        <w:spacing w:line="240" w:lineRule="auto"/>
        <w:jc w:val="both"/>
        <w:rPr>
          <w:rFonts w:asciiTheme="majorHAnsi" w:hAnsiTheme="majorHAnsi"/>
          <w:sz w:val="24"/>
          <w:szCs w:val="24"/>
          <w:lang w:bidi="ar-EG"/>
        </w:rPr>
      </w:pPr>
      <w:r w:rsidRPr="000D54D4">
        <w:rPr>
          <w:rFonts w:asciiTheme="majorHAnsi" w:hAnsiTheme="majorHAnsi"/>
          <w:sz w:val="24"/>
          <w:szCs w:val="24"/>
          <w:lang w:bidi="ar-EG"/>
        </w:rPr>
        <w:t xml:space="preserve">The Social Movements </w:t>
      </w:r>
      <w:r>
        <w:rPr>
          <w:rFonts w:asciiTheme="majorHAnsi" w:hAnsiTheme="majorHAnsi"/>
          <w:sz w:val="24"/>
          <w:szCs w:val="24"/>
          <w:lang w:bidi="ar-EG"/>
        </w:rPr>
        <w:t>Monitoring Center</w:t>
      </w:r>
      <w:r w:rsidRPr="000D54D4">
        <w:rPr>
          <w:rFonts w:asciiTheme="majorHAnsi" w:hAnsiTheme="majorHAnsi"/>
          <w:sz w:val="24"/>
          <w:szCs w:val="24"/>
          <w:lang w:bidi="ar-EG"/>
        </w:rPr>
        <w:t xml:space="preserve"> program </w:t>
      </w:r>
      <w:r>
        <w:rPr>
          <w:rFonts w:asciiTheme="majorHAnsi" w:hAnsiTheme="majorHAnsi"/>
          <w:sz w:val="24"/>
          <w:szCs w:val="24"/>
          <w:lang w:bidi="ar-EG"/>
        </w:rPr>
        <w:t>asserts</w:t>
      </w:r>
      <w:r w:rsidRPr="000D54D4">
        <w:rPr>
          <w:rFonts w:asciiTheme="majorHAnsi" w:hAnsiTheme="majorHAnsi"/>
          <w:sz w:val="24"/>
          <w:szCs w:val="24"/>
          <w:lang w:bidi="ar-EG"/>
        </w:rPr>
        <w:t xml:space="preserve"> that the protests that took place during the reporting period </w:t>
      </w:r>
      <w:r>
        <w:rPr>
          <w:rFonts w:asciiTheme="majorHAnsi" w:hAnsiTheme="majorHAnsi"/>
          <w:sz w:val="24"/>
          <w:szCs w:val="24"/>
          <w:lang w:bidi="ar-EG"/>
        </w:rPr>
        <w:t xml:space="preserve">came in individual form, apart from </w:t>
      </w:r>
      <w:r w:rsidRPr="000D54D4">
        <w:rPr>
          <w:rFonts w:asciiTheme="majorHAnsi" w:hAnsiTheme="majorHAnsi"/>
          <w:sz w:val="24"/>
          <w:szCs w:val="24"/>
          <w:lang w:bidi="ar-EG"/>
        </w:rPr>
        <w:t>any trade union or</w:t>
      </w:r>
      <w:r>
        <w:rPr>
          <w:rFonts w:asciiTheme="majorHAnsi" w:hAnsiTheme="majorHAnsi"/>
          <w:sz w:val="24"/>
          <w:szCs w:val="24"/>
          <w:lang w:bidi="ar-EG"/>
        </w:rPr>
        <w:t xml:space="preserve">ganizations or social movements. It also confirms that </w:t>
      </w:r>
      <w:r w:rsidRPr="000D54D4">
        <w:rPr>
          <w:rFonts w:asciiTheme="majorHAnsi" w:hAnsiTheme="majorHAnsi"/>
          <w:sz w:val="24"/>
          <w:szCs w:val="24"/>
          <w:lang w:bidi="ar-EG"/>
        </w:rPr>
        <w:t>these protests were</w:t>
      </w:r>
      <w:r>
        <w:rPr>
          <w:rFonts w:asciiTheme="majorHAnsi" w:hAnsiTheme="majorHAnsi"/>
          <w:sz w:val="24"/>
          <w:szCs w:val="24"/>
          <w:lang w:bidi="ar-EG"/>
        </w:rPr>
        <w:t xml:space="preserve"> organized by workers demanding to improve </w:t>
      </w:r>
      <w:r w:rsidRPr="000D54D4">
        <w:rPr>
          <w:rFonts w:asciiTheme="majorHAnsi" w:hAnsiTheme="majorHAnsi"/>
          <w:sz w:val="24"/>
          <w:szCs w:val="24"/>
          <w:lang w:bidi="ar-EG"/>
        </w:rPr>
        <w:t>their economic and financial conditions.</w:t>
      </w:r>
    </w:p>
    <w:sectPr w:rsidR="000D54D4" w:rsidRPr="008F2C6B" w:rsidSect="009814E1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F443E"/>
    <w:multiLevelType w:val="hybridMultilevel"/>
    <w:tmpl w:val="6850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A4288"/>
    <w:multiLevelType w:val="multilevel"/>
    <w:tmpl w:val="4162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6324D"/>
    <w:multiLevelType w:val="multilevel"/>
    <w:tmpl w:val="FFCA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44C5E"/>
    <w:multiLevelType w:val="multilevel"/>
    <w:tmpl w:val="E5CC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6B"/>
    <w:rsid w:val="000D2953"/>
    <w:rsid w:val="000D54D4"/>
    <w:rsid w:val="000E448C"/>
    <w:rsid w:val="00113E7E"/>
    <w:rsid w:val="00166C5B"/>
    <w:rsid w:val="0058235C"/>
    <w:rsid w:val="007010EB"/>
    <w:rsid w:val="00715E04"/>
    <w:rsid w:val="00717F12"/>
    <w:rsid w:val="00721BEE"/>
    <w:rsid w:val="00811DD3"/>
    <w:rsid w:val="008C4671"/>
    <w:rsid w:val="008F2C6B"/>
    <w:rsid w:val="009532E0"/>
    <w:rsid w:val="009814E1"/>
    <w:rsid w:val="00A42A45"/>
    <w:rsid w:val="00B37F70"/>
    <w:rsid w:val="00C6759B"/>
    <w:rsid w:val="00E0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812E"/>
  <w15:docId w15:val="{CAB13308-C181-4C69-9034-500CB95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F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953"/>
    <w:pPr>
      <w:ind w:left="720"/>
      <w:contextualSpacing/>
    </w:pPr>
  </w:style>
  <w:style w:type="table" w:styleId="TableGrid">
    <w:name w:val="Table Grid"/>
    <w:basedOn w:val="TableNormal"/>
    <w:uiPriority w:val="59"/>
    <w:rsid w:val="00113E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18726">
          <w:marLeft w:val="0"/>
          <w:marRight w:val="-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281">
          <w:marLeft w:val="0"/>
          <w:marRight w:val="-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607">
          <w:marLeft w:val="0"/>
          <w:marRight w:val="-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222">
          <w:marLeft w:val="0"/>
          <w:marRight w:val="-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615">
          <w:marLeft w:val="0"/>
          <w:marRight w:val="-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056">
          <w:marLeft w:val="0"/>
          <w:marRight w:val="-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1745">
          <w:marLeft w:val="0"/>
          <w:marRight w:val="-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462">
          <w:marLeft w:val="0"/>
          <w:marRight w:val="-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157">
          <w:marLeft w:val="0"/>
          <w:marRight w:val="-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764">
          <w:marLeft w:val="0"/>
          <w:marRight w:val="-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392">
          <w:marLeft w:val="0"/>
          <w:marRight w:val="-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30">
          <w:marLeft w:val="0"/>
          <w:marRight w:val="-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333">
          <w:marLeft w:val="0"/>
          <w:marRight w:val="-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751">
          <w:marLeft w:val="0"/>
          <w:marRight w:val="-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Hadeer</dc:creator>
  <cp:lastModifiedBy>Hussien</cp:lastModifiedBy>
  <cp:revision>2</cp:revision>
  <dcterms:created xsi:type="dcterms:W3CDTF">2020-09-17T08:43:00Z</dcterms:created>
  <dcterms:modified xsi:type="dcterms:W3CDTF">2020-09-17T08:43:00Z</dcterms:modified>
</cp:coreProperties>
</file>