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The Arabic Network for Human Rights Information (ANHRI)</w:t>
      </w:r>
    </w:p>
    <w:p w:rsidR="00586D19" w:rsidRDefault="009A7ABF" w:rsidP="001676DB">
      <w:pPr>
        <w:pStyle w:val="NoSpacing"/>
        <w:bidi w:val="0"/>
        <w:jc w:val="both"/>
      </w:pPr>
      <w:r>
        <w:rPr>
          <w:rFonts w:asciiTheme="majorBidi" w:hAnsiTheme="majorBidi" w:cstheme="majorBidi"/>
          <w:sz w:val="20"/>
          <w:szCs w:val="20"/>
        </w:rPr>
        <w:t>The Freedom of Expression for Labor and Social Movements Program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0"/>
          <w:szCs w:val="20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0"/>
          <w:szCs w:val="20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Pr="001676DB" w:rsidRDefault="009A7ABF" w:rsidP="001676DB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r w:rsidRPr="001676DB">
        <w:rPr>
          <w:rFonts w:asciiTheme="majorBidi" w:hAnsiTheme="majorBidi" w:cstheme="majorBidi"/>
          <w:b/>
          <w:bCs/>
          <w:sz w:val="36"/>
          <w:szCs w:val="36"/>
          <w:u w:val="single"/>
        </w:rPr>
        <w:t>Labor and Social Protest Index during June 2019</w:t>
      </w:r>
    </w:p>
    <w:bookmarkEnd w:id="0"/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Style w:val="SubtleEmphasis"/>
          <w:rFonts w:asciiTheme="majorBidi" w:hAnsiTheme="majorBidi" w:cstheme="majorBidi"/>
          <w:color w:val="auto"/>
          <w:sz w:val="28"/>
          <w:szCs w:val="28"/>
          <w:u w:val="single"/>
        </w:rPr>
      </w:pPr>
      <w:r>
        <w:rPr>
          <w:rStyle w:val="SubtleEmphasis"/>
          <w:rFonts w:asciiTheme="majorBidi" w:hAnsiTheme="majorBidi" w:cstheme="majorBidi"/>
          <w:color w:val="auto"/>
          <w:sz w:val="28"/>
          <w:szCs w:val="28"/>
          <w:u w:val="single"/>
        </w:rPr>
        <w:t>Introduction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</w:pPr>
      <w:r>
        <w:rPr>
          <w:rFonts w:asciiTheme="majorBidi" w:hAnsiTheme="majorBidi" w:cstheme="majorBidi"/>
          <w:sz w:val="24"/>
          <w:szCs w:val="24"/>
        </w:rPr>
        <w:t>For the first time this month, l</w:t>
      </w:r>
      <w:r>
        <w:rPr>
          <w:rFonts w:asciiTheme="majorBidi" w:hAnsiTheme="majorBidi" w:cstheme="majorBidi"/>
          <w:sz w:val="24"/>
          <w:szCs w:val="24"/>
        </w:rPr>
        <w:t>abor and professional protests were more than the social protests during June, as workers and professionals also expanded to resort to hunger strikes. This month there were 3 cases of hunger strikes.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Also, South Sinai, for the first time, was mentioned in </w:t>
      </w:r>
      <w:r>
        <w:rPr>
          <w:rFonts w:asciiTheme="majorBidi" w:hAnsiTheme="majorBidi" w:cstheme="majorBidi"/>
          <w:sz w:val="24"/>
          <w:szCs w:val="24"/>
        </w:rPr>
        <w:t>the list of locations that witnessed labor protests.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the other hand, suicide due to poor economic conditions remained the first choice of social movements to express protest.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</w:pPr>
      <w:r>
        <w:rPr>
          <w:rFonts w:asciiTheme="majorBidi" w:hAnsiTheme="majorBidi" w:cstheme="majorBidi"/>
          <w:sz w:val="24"/>
          <w:szCs w:val="24"/>
        </w:rPr>
        <w:t>The program of freedom of expression for labor and social movements monitored</w:t>
      </w:r>
      <w:r>
        <w:rPr>
          <w:rFonts w:asciiTheme="majorBidi" w:hAnsiTheme="majorBidi" w:cstheme="majorBidi"/>
          <w:sz w:val="24"/>
          <w:szCs w:val="24"/>
        </w:rPr>
        <w:t xml:space="preserve"> 31 protests during June, including 16 labor and professional protests, and 15 social protests, summarized as follows:</w:t>
      </w:r>
    </w:p>
    <w:p w:rsidR="00586D19" w:rsidRDefault="001676DB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5715</wp:posOffset>
            </wp:positionV>
            <wp:extent cx="3223895" cy="2219325"/>
            <wp:effectExtent l="0" t="0" r="0" b="0"/>
            <wp:wrapTight wrapText="bothSides">
              <wp:wrapPolygon edited="0">
                <wp:start x="9573" y="185"/>
                <wp:lineTo x="8424" y="556"/>
                <wp:lineTo x="5744" y="2781"/>
                <wp:lineTo x="5744" y="3523"/>
                <wp:lineTo x="5233" y="4450"/>
                <wp:lineTo x="4212" y="6489"/>
                <wp:lineTo x="3574" y="9456"/>
                <wp:lineTo x="3574" y="12422"/>
                <wp:lineTo x="4212" y="15389"/>
                <wp:lineTo x="5616" y="18726"/>
                <wp:lineTo x="8424" y="21322"/>
                <wp:lineTo x="9573" y="21507"/>
                <wp:lineTo x="12381" y="21507"/>
                <wp:lineTo x="13402" y="21322"/>
                <wp:lineTo x="16337" y="18726"/>
                <wp:lineTo x="17741" y="15389"/>
                <wp:lineTo x="18252" y="12422"/>
                <wp:lineTo x="18252" y="9456"/>
                <wp:lineTo x="19018" y="7973"/>
                <wp:lineTo x="18890" y="7231"/>
                <wp:lineTo x="17614" y="6489"/>
                <wp:lineTo x="16592" y="4264"/>
                <wp:lineTo x="16337" y="3152"/>
                <wp:lineTo x="13529" y="927"/>
                <wp:lineTo x="12381" y="185"/>
                <wp:lineTo x="9573" y="18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46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D19" w:rsidRDefault="00586D19" w:rsidP="001676D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First: Labor and Professional Protests: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program monitored 16 labor and professional protests as follows;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Vigils: 5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Hunger strik</w:t>
      </w:r>
      <w:r>
        <w:rPr>
          <w:rFonts w:asciiTheme="majorBidi" w:hAnsiTheme="majorBidi" w:cstheme="majorBidi"/>
          <w:sz w:val="24"/>
          <w:szCs w:val="24"/>
        </w:rPr>
        <w:t>es: 3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Strike to work: 2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Threatening to protest: 2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Petition or complaint: 2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Resorting to Labor Bureau: 1</w:t>
      </w:r>
    </w:p>
    <w:p w:rsidR="00586D19" w:rsidRDefault="009A7ABF" w:rsidP="001676DB">
      <w:pPr>
        <w:pStyle w:val="NoSpacing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Protest: 1 case of suicide</w:t>
      </w:r>
    </w:p>
    <w:p w:rsidR="00586D19" w:rsidRDefault="00586D19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1676DB" w:rsidP="001676DB">
      <w:pPr>
        <w:pStyle w:val="NoSpacing"/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152900" cy="28587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2266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307" cy="28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his is detailed as follows;</w:t>
      </w: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Vigils: 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Workers and employees used vigils as a means of protest 5 times during June, as follows: </w:t>
      </w:r>
    </w:p>
    <w:p w:rsidR="00586D19" w:rsidRDefault="009A7ABF" w:rsidP="001676DB">
      <w:pPr>
        <w:pStyle w:val="NoSpacing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Dozens of workers at </w:t>
      </w:r>
      <w:proofErr w:type="spellStart"/>
      <w:r>
        <w:rPr>
          <w:rFonts w:asciiTheme="majorBidi" w:hAnsiTheme="majorBidi" w:cstheme="majorBidi"/>
          <w:sz w:val="24"/>
          <w:szCs w:val="24"/>
        </w:rPr>
        <w:t>Ermas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Company, organized a protest on June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 to claim the disbursement of a grant to be disbursed each year. Security forces arrested 7 of the</w:t>
      </w:r>
      <w:r>
        <w:rPr>
          <w:rFonts w:asciiTheme="majorBidi" w:hAnsiTheme="majorBidi" w:cstheme="majorBidi"/>
          <w:sz w:val="24"/>
          <w:szCs w:val="24"/>
        </w:rPr>
        <w:t xml:space="preserve"> company's employees on charges of inciting their colleagues to demonstrate. </w:t>
      </w:r>
    </w:p>
    <w:p w:rsidR="00586D19" w:rsidRDefault="009A7ABF" w:rsidP="001676DB">
      <w:pPr>
        <w:pStyle w:val="NoSpacing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Dozens of lawyers, in the presence of a number union members, in Ismailia, Giza, October 6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Menoufia</w:t>
      </w:r>
      <w:proofErr w:type="spellEnd"/>
      <w:r>
        <w:rPr>
          <w:rFonts w:asciiTheme="majorBidi" w:hAnsiTheme="majorBidi" w:cstheme="majorBidi"/>
          <w:sz w:val="24"/>
          <w:szCs w:val="24"/>
        </w:rPr>
        <w:t>, New Cairo, Mahalla, and Tanta, organized a protest on June 11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on the la</w:t>
      </w:r>
      <w:r>
        <w:rPr>
          <w:rFonts w:asciiTheme="majorBidi" w:hAnsiTheme="majorBidi" w:cstheme="majorBidi"/>
          <w:sz w:val="24"/>
          <w:szCs w:val="24"/>
        </w:rPr>
        <w:t xml:space="preserve">dder of the General Bar Association, in protest against amendments to the practicing law’s law. </w:t>
      </w:r>
    </w:p>
    <w:p w:rsidR="00586D19" w:rsidRDefault="009A7ABF" w:rsidP="001676DB">
      <w:pPr>
        <w:pStyle w:val="NoSpacing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feeding workers organized a protest on June 11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, in front of the Ministry of Agriculture in </w:t>
      </w:r>
      <w:proofErr w:type="spellStart"/>
      <w:r>
        <w:rPr>
          <w:rFonts w:asciiTheme="majorBidi" w:hAnsiTheme="majorBidi" w:cstheme="majorBidi"/>
          <w:sz w:val="24"/>
          <w:szCs w:val="24"/>
        </w:rPr>
        <w:t>Dokki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demand the application of the minimum wage and fix</w:t>
      </w:r>
      <w:r>
        <w:rPr>
          <w:rFonts w:asciiTheme="majorBidi" w:hAnsiTheme="majorBidi" w:cstheme="majorBidi"/>
          <w:sz w:val="24"/>
          <w:szCs w:val="24"/>
        </w:rPr>
        <w:t xml:space="preserve">ation on permanent degrees. </w:t>
      </w:r>
    </w:p>
    <w:p w:rsidR="00586D19" w:rsidRDefault="009A7ABF" w:rsidP="001676DB">
      <w:pPr>
        <w:pStyle w:val="NoSpacing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number of temporary teachers organized a peaceful protest, in front of the Ministry of Education on June 23</w:t>
      </w:r>
      <w:r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, to demand the renewal of their contracts, which ended in May without entering new competitions. </w:t>
      </w:r>
    </w:p>
    <w:p w:rsidR="00586D19" w:rsidRDefault="009A7ABF" w:rsidP="001676DB">
      <w:pPr>
        <w:pStyle w:val="NoSpacing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Dozens of workers</w:t>
      </w:r>
      <w:r>
        <w:rPr>
          <w:rFonts w:asciiTheme="majorBidi" w:hAnsiTheme="majorBidi" w:cstheme="majorBidi"/>
          <w:sz w:val="24"/>
          <w:szCs w:val="24"/>
        </w:rPr>
        <w:t xml:space="preserve"> at a tourist housing village in Nabq area organized a protest on June 26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, for not being paid their salaries for several months. They had a record in the police station and presented a complaint to </w:t>
      </w:r>
      <w:proofErr w:type="spellStart"/>
      <w:r>
        <w:rPr>
          <w:rFonts w:asciiTheme="majorBidi" w:hAnsiTheme="majorBidi" w:cstheme="majorBidi"/>
          <w:sz w:val="24"/>
          <w:szCs w:val="24"/>
        </w:rPr>
        <w:t>Sharm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el-Sheikh Labor Bureau calling on officials to int</w:t>
      </w:r>
      <w:r>
        <w:rPr>
          <w:rFonts w:asciiTheme="majorBidi" w:hAnsiTheme="majorBidi" w:cstheme="majorBidi"/>
          <w:sz w:val="24"/>
          <w:szCs w:val="24"/>
        </w:rPr>
        <w:t>ervene.</w:t>
      </w:r>
    </w:p>
    <w:p w:rsidR="00586D19" w:rsidRDefault="00586D19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Hunger strikes: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program monitored 3 cases of labor hunger strikes during June as follows:</w:t>
      </w:r>
    </w:p>
    <w:p w:rsidR="00586D19" w:rsidRDefault="009A7ABF" w:rsidP="001676DB">
      <w:pPr>
        <w:pStyle w:val="NoSpacing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policewoman – who works at a subsidiary of the security services at Luxor International Airport – entered an open hunger strike on June 9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in Luxor G</w:t>
      </w:r>
      <w:r>
        <w:rPr>
          <w:rFonts w:asciiTheme="majorBidi" w:hAnsiTheme="majorBidi" w:cstheme="majorBidi"/>
          <w:sz w:val="24"/>
          <w:szCs w:val="24"/>
        </w:rPr>
        <w:t xml:space="preserve">eneral Hospital, because some of her colleagues at work had not been taking into account her psychological state after her mother's death. </w:t>
      </w:r>
    </w:p>
    <w:p w:rsidR="00586D19" w:rsidRDefault="009A7ABF" w:rsidP="001676DB">
      <w:pPr>
        <w:pStyle w:val="NoSpacing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Said Abdel Rahim </w:t>
      </w:r>
      <w:proofErr w:type="spellStart"/>
      <w:r>
        <w:rPr>
          <w:rFonts w:asciiTheme="majorBidi" w:hAnsiTheme="majorBidi" w:cstheme="majorBidi"/>
          <w:sz w:val="24"/>
          <w:szCs w:val="24"/>
        </w:rPr>
        <w:t>Rais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Hedeya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Head of Statistics Department at </w:t>
      </w:r>
      <w:proofErr w:type="spellStart"/>
      <w:r>
        <w:rPr>
          <w:rFonts w:asciiTheme="majorBidi" w:hAnsiTheme="majorBidi" w:cstheme="majorBidi"/>
          <w:sz w:val="24"/>
          <w:szCs w:val="24"/>
        </w:rPr>
        <w:t>Deir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Educational Administration in </w:t>
      </w:r>
      <w:proofErr w:type="spellStart"/>
      <w:r>
        <w:rPr>
          <w:rFonts w:asciiTheme="majorBidi" w:hAnsiTheme="majorBidi" w:cstheme="majorBidi"/>
          <w:sz w:val="24"/>
          <w:szCs w:val="24"/>
        </w:rPr>
        <w:t>Menia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announced entering a hunger strike on June 18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in </w:t>
      </w:r>
      <w:proofErr w:type="spellStart"/>
      <w:r>
        <w:rPr>
          <w:rFonts w:asciiTheme="majorBidi" w:hAnsiTheme="majorBidi" w:cstheme="majorBidi"/>
          <w:sz w:val="24"/>
          <w:szCs w:val="24"/>
        </w:rPr>
        <w:t>Deir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Central Hospital, in protest against his transfer from the Department of Statistics in </w:t>
      </w:r>
      <w:proofErr w:type="spellStart"/>
      <w:r>
        <w:rPr>
          <w:rFonts w:asciiTheme="majorBidi" w:hAnsiTheme="majorBidi" w:cstheme="majorBidi"/>
          <w:sz w:val="24"/>
          <w:szCs w:val="24"/>
        </w:rPr>
        <w:t>Deir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86D19" w:rsidRDefault="009A7ABF" w:rsidP="001676DB">
      <w:pPr>
        <w:pStyle w:val="NoSpacing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Ahmed Gabber Abdel </w:t>
      </w:r>
      <w:proofErr w:type="spellStart"/>
      <w:r>
        <w:rPr>
          <w:rFonts w:asciiTheme="majorBidi" w:hAnsiTheme="majorBidi" w:cstheme="majorBidi"/>
          <w:sz w:val="24"/>
          <w:szCs w:val="24"/>
        </w:rPr>
        <w:t>Qader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Head of the railway station in </w:t>
      </w:r>
      <w:proofErr w:type="spellStart"/>
      <w:r>
        <w:rPr>
          <w:rFonts w:asciiTheme="majorBidi" w:hAnsiTheme="majorBidi" w:cstheme="majorBidi"/>
          <w:sz w:val="24"/>
          <w:szCs w:val="24"/>
        </w:rPr>
        <w:t>Edfu</w:t>
      </w:r>
      <w:proofErr w:type="spellEnd"/>
      <w:r>
        <w:rPr>
          <w:rFonts w:asciiTheme="majorBidi" w:hAnsiTheme="majorBidi" w:cstheme="majorBidi"/>
          <w:sz w:val="24"/>
          <w:szCs w:val="24"/>
        </w:rPr>
        <w:t>, Aswan - entered a hunger stri</w:t>
      </w:r>
      <w:r>
        <w:rPr>
          <w:rFonts w:asciiTheme="majorBidi" w:hAnsiTheme="majorBidi" w:cstheme="majorBidi"/>
          <w:sz w:val="24"/>
          <w:szCs w:val="24"/>
        </w:rPr>
        <w:t>ke on June 18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, in protest against a penalty that had been against him at work, which caused the deterioration of his health condition so he was taken to </w:t>
      </w:r>
      <w:proofErr w:type="spellStart"/>
      <w:r>
        <w:rPr>
          <w:rFonts w:asciiTheme="majorBidi" w:hAnsiTheme="majorBidi" w:cstheme="majorBidi"/>
          <w:sz w:val="24"/>
          <w:szCs w:val="24"/>
        </w:rPr>
        <w:t>Edfu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General Hospital</w:t>
      </w:r>
    </w:p>
    <w:p w:rsidR="001676DB" w:rsidRPr="001676DB" w:rsidRDefault="001676DB" w:rsidP="001676DB">
      <w:pPr>
        <w:pStyle w:val="NoSpacing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trike to work: 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program monitored 2 cases where workers and professiona</w:t>
      </w:r>
      <w:r>
        <w:rPr>
          <w:rFonts w:asciiTheme="majorBidi" w:hAnsiTheme="majorBidi" w:cstheme="majorBidi"/>
          <w:sz w:val="24"/>
          <w:szCs w:val="24"/>
        </w:rPr>
        <w:t>ls resorted to striking to work as a peaceful method of protesting, as follows:</w:t>
      </w:r>
    </w:p>
    <w:p w:rsidR="00586D19" w:rsidRDefault="009A7ABF" w:rsidP="001676DB">
      <w:pPr>
        <w:pStyle w:val="NoSpacing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workers at the cleaning company responsible for cleaning in </w:t>
      </w:r>
      <w:proofErr w:type="spellStart"/>
      <w:r>
        <w:rPr>
          <w:rFonts w:asciiTheme="majorBidi" w:hAnsiTheme="majorBidi" w:cstheme="majorBidi"/>
          <w:sz w:val="24"/>
          <w:szCs w:val="24"/>
        </w:rPr>
        <w:t>Hadaeq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Qubbah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 in Cairo, entered a strike to work in early June, after the company had been abstainin</w:t>
      </w:r>
      <w:r>
        <w:rPr>
          <w:rFonts w:asciiTheme="majorBidi" w:hAnsiTheme="majorBidi" w:cstheme="majorBidi"/>
          <w:sz w:val="24"/>
          <w:szCs w:val="24"/>
        </w:rPr>
        <w:t xml:space="preserve">g from paying their salaries for more than a month, causing a crisis of cleanliness in the neighborhood streets. </w:t>
      </w:r>
    </w:p>
    <w:p w:rsidR="00586D19" w:rsidRDefault="009A7ABF" w:rsidP="001676DB">
      <w:pPr>
        <w:pStyle w:val="NoSpacing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workers of </w:t>
      </w:r>
      <w:proofErr w:type="spellStart"/>
      <w:r>
        <w:rPr>
          <w:rFonts w:asciiTheme="majorBidi" w:hAnsiTheme="majorBidi" w:cstheme="majorBidi"/>
          <w:sz w:val="24"/>
          <w:szCs w:val="24"/>
        </w:rPr>
        <w:t>Misr</w:t>
      </w:r>
      <w:proofErr w:type="spellEnd"/>
      <w:r>
        <w:rPr>
          <w:rFonts w:asciiTheme="majorBidi" w:hAnsiTheme="majorBidi" w:cstheme="majorBidi"/>
          <w:sz w:val="24"/>
          <w:szCs w:val="24"/>
        </w:rPr>
        <w:t>-Spain for the manufacture of blankets and textiles in Shubra Al-Khaymah entered a full-scale strike to work on June 22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, after the failure of the Ministry of Manpower and the Governor of </w:t>
      </w:r>
      <w:proofErr w:type="spellStart"/>
      <w:r>
        <w:rPr>
          <w:rFonts w:asciiTheme="majorBidi" w:hAnsiTheme="majorBidi" w:cstheme="majorBidi"/>
          <w:sz w:val="24"/>
          <w:szCs w:val="24"/>
        </w:rPr>
        <w:t>Qalubia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settle the disputes between them and the owner of the company. </w:t>
      </w:r>
    </w:p>
    <w:p w:rsidR="00586D19" w:rsidRDefault="00586D19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Threatening to protest: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program monitored 2 cases in which workers threatened to protest as a means of labor</w:t>
      </w:r>
      <w:r>
        <w:rPr>
          <w:rFonts w:asciiTheme="majorBidi" w:hAnsiTheme="majorBidi" w:cstheme="majorBidi"/>
          <w:sz w:val="24"/>
          <w:szCs w:val="24"/>
        </w:rPr>
        <w:t xml:space="preserve"> protests during June:</w:t>
      </w:r>
    </w:p>
    <w:p w:rsidR="00586D19" w:rsidRDefault="009A7ABF" w:rsidP="001676DB">
      <w:pPr>
        <w:pStyle w:val="NoSpacing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number of employees of party newspapers, threatened to organize a protest on the stairs of the Journalists Syndicate on June 11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th, </w:t>
      </w:r>
      <w:r>
        <w:rPr>
          <w:rFonts w:asciiTheme="majorBidi" w:hAnsiTheme="majorBidi" w:cstheme="majorBidi"/>
          <w:sz w:val="24"/>
          <w:szCs w:val="24"/>
        </w:rPr>
        <w:t>in protest against the delay in finding a solution to the crisis of their newspapers, and the delaye</w:t>
      </w:r>
      <w:r>
        <w:rPr>
          <w:rFonts w:asciiTheme="majorBidi" w:hAnsiTheme="majorBidi" w:cstheme="majorBidi"/>
          <w:sz w:val="24"/>
          <w:szCs w:val="24"/>
        </w:rPr>
        <w:t xml:space="preserve">d issuance of licenses for “Al </w:t>
      </w:r>
      <w:proofErr w:type="spellStart"/>
      <w:r>
        <w:rPr>
          <w:rFonts w:asciiTheme="majorBidi" w:hAnsiTheme="majorBidi" w:cstheme="majorBidi"/>
          <w:sz w:val="24"/>
          <w:szCs w:val="24"/>
        </w:rPr>
        <w:t>Khabbar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website. </w:t>
      </w:r>
    </w:p>
    <w:p w:rsidR="00586D19" w:rsidRDefault="009A7ABF" w:rsidP="001676DB">
      <w:pPr>
        <w:pStyle w:val="NoSpacing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number of temporary contract teachers on June 30, threatened to organize a protest, on July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 in front of the Cabinet of the Council of Ministers; to demand the renewal of their contracts with the Mini</w:t>
      </w:r>
      <w:r>
        <w:rPr>
          <w:rFonts w:asciiTheme="majorBidi" w:hAnsiTheme="majorBidi" w:cstheme="majorBidi"/>
          <w:sz w:val="24"/>
          <w:szCs w:val="24"/>
        </w:rPr>
        <w:t>stry of Education, which ended on May 31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Petition or complaint: 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program monitored 2 cases where:</w:t>
      </w:r>
    </w:p>
    <w:p w:rsidR="00586D19" w:rsidRDefault="009A7ABF" w:rsidP="001676DB">
      <w:pPr>
        <w:pStyle w:val="NoSpacing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workers at "my health" of the Ministry of Health filed a collective complaint to the Presidency and the Cabinet, on June 10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seeking all decisi</w:t>
      </w:r>
      <w:r>
        <w:rPr>
          <w:rFonts w:asciiTheme="majorBidi" w:hAnsiTheme="majorBidi" w:cstheme="majorBidi"/>
          <w:sz w:val="24"/>
          <w:szCs w:val="24"/>
        </w:rPr>
        <w:t xml:space="preserve">on makers to deal with the decision of the "Minister of Health" to shut off the channel from the beginning of July 2019. </w:t>
      </w:r>
    </w:p>
    <w:p w:rsidR="00586D19" w:rsidRDefault="009A7ABF" w:rsidP="001676DB">
      <w:pPr>
        <w:pStyle w:val="NoSpacing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Doctors of the Egyptian Authority for compulsory training, started a campaign on social media on June 15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and also filed a collectiv</w:t>
      </w:r>
      <w:r>
        <w:rPr>
          <w:rFonts w:asciiTheme="majorBidi" w:hAnsiTheme="majorBidi" w:cstheme="majorBidi"/>
          <w:sz w:val="24"/>
          <w:szCs w:val="24"/>
        </w:rPr>
        <w:t>e complaint to the competent entities so that they can complete the procedures of starting work, so that they could join their colleagues who in their training program.</w:t>
      </w:r>
    </w:p>
    <w:p w:rsidR="00586D19" w:rsidRDefault="00586D19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Resorting to Labor Bureau: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Only case was monitored where:</w:t>
      </w:r>
    </w:p>
    <w:p w:rsidR="00586D19" w:rsidRDefault="009A7ABF" w:rsidP="001676DB">
      <w:pPr>
        <w:pStyle w:val="NoSpacing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Workers of the Egypt-Spain </w:t>
      </w:r>
      <w:r>
        <w:rPr>
          <w:rFonts w:asciiTheme="majorBidi" w:hAnsiTheme="majorBidi" w:cstheme="majorBidi"/>
          <w:sz w:val="24"/>
          <w:szCs w:val="24"/>
        </w:rPr>
        <w:t>factory for blankets and textiles decided to resort to the Labor Office on June 15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 an escalation of their crisis with the factory owner after they </w:t>
      </w:r>
      <w:r>
        <w:rPr>
          <w:rFonts w:asciiTheme="majorBidi" w:hAnsiTheme="majorBidi" w:cstheme="majorBidi"/>
          <w:sz w:val="24"/>
          <w:szCs w:val="24"/>
        </w:rPr>
        <w:lastRenderedPageBreak/>
        <w:t>were surprised by the decision to stop their salaries as punishment for their previous strike.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  </w:t>
      </w:r>
    </w:p>
    <w:p w:rsidR="00586D19" w:rsidRDefault="009A7ABF" w:rsidP="001676DB">
      <w:pPr>
        <w:pStyle w:val="NoSpacing"/>
        <w:numPr>
          <w:ilvl w:val="0"/>
          <w:numId w:val="2"/>
        </w:numPr>
        <w:bidi w:val="0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Protes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t: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Only one case was monitored where:</w:t>
      </w:r>
    </w:p>
    <w:p w:rsidR="00586D19" w:rsidRDefault="009A7ABF" w:rsidP="001676DB">
      <w:pPr>
        <w:pStyle w:val="NoSpacing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Workers in textile company 2 in Damietta, announced sit-ins and strikes on June 17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due to late payment of their financial dues, and they chanted slogans against the current administration.</w:t>
      </w:r>
    </w:p>
    <w:p w:rsidR="001676DB" w:rsidRDefault="001676DB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676DB" w:rsidRDefault="001676DB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676DB">
        <w:rPr>
          <w:rFonts w:asciiTheme="majorBidi" w:hAnsiTheme="majorBidi" w:cstheme="majorBidi"/>
          <w:b/>
          <w:bCs/>
          <w:sz w:val="28"/>
          <w:szCs w:val="28"/>
        </w:rPr>
        <w:t>Second: Social Protests:</w:t>
      </w:r>
    </w:p>
    <w:p w:rsidR="001676DB" w:rsidRPr="001676DB" w:rsidRDefault="001676DB" w:rsidP="001676DB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 program monitored 15 social protests distributed as follows:</w:t>
      </w:r>
    </w:p>
    <w:p w:rsidR="00586D19" w:rsidRDefault="009A7ABF" w:rsidP="001676DB">
      <w:pPr>
        <w:pStyle w:val="NoSpacing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Suicide/attempted suicide: 5 cases</w:t>
      </w:r>
    </w:p>
    <w:p w:rsidR="00586D19" w:rsidRDefault="009A7ABF" w:rsidP="001676DB">
      <w:pPr>
        <w:pStyle w:val="NoSpacing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Threatening to protest: 4 cases.</w:t>
      </w:r>
    </w:p>
    <w:p w:rsidR="00586D19" w:rsidRDefault="009A7ABF" w:rsidP="001676DB">
      <w:pPr>
        <w:pStyle w:val="NoSpacing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Gatherings: 2 cases</w:t>
      </w:r>
    </w:p>
    <w:p w:rsidR="00586D19" w:rsidRDefault="009A7ABF" w:rsidP="001676DB">
      <w:pPr>
        <w:pStyle w:val="NoSpacing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Sit-In, petition/complaint, road blocking, and vigils: 1 case each</w:t>
      </w:r>
    </w:p>
    <w:p w:rsidR="00586D19" w:rsidRDefault="001676DB" w:rsidP="001676DB">
      <w:pPr>
        <w:pStyle w:val="NoSpacing"/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829175" cy="3324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676DB" w:rsidRPr="001676DB" w:rsidRDefault="001676DB" w:rsidP="001676DB"/>
    <w:p w:rsidR="00586D19" w:rsidRDefault="009A7ABF" w:rsidP="001676D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nd they detailed as follows:</w:t>
      </w: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u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icide/attempted suicide: 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 cases of suicides or attempted suicides were monitored by the program for poor life conditions, as follows:</w:t>
      </w:r>
    </w:p>
    <w:p w:rsidR="00586D19" w:rsidRDefault="009A7ABF" w:rsidP="001676DB">
      <w:pPr>
        <w:pStyle w:val="NoSpacing"/>
        <w:numPr>
          <w:ilvl w:val="0"/>
          <w:numId w:val="12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"Ahmad M. F</w:t>
      </w:r>
      <w:proofErr w:type="gramStart"/>
      <w:r>
        <w:rPr>
          <w:rFonts w:asciiTheme="majorBidi" w:hAnsiTheme="majorBidi" w:cstheme="majorBidi"/>
          <w:sz w:val="24"/>
          <w:szCs w:val="24"/>
        </w:rPr>
        <w:t>.“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46, a waiter at a famous fish restaurant in Alexandria, committed suicide because of financial distress, and not being able to buy </w:t>
      </w:r>
      <w:proofErr w:type="spellStart"/>
      <w:r>
        <w:rPr>
          <w:rFonts w:asciiTheme="majorBidi" w:hAnsiTheme="majorBidi" w:cstheme="majorBidi"/>
          <w:sz w:val="24"/>
          <w:szCs w:val="24"/>
        </w:rPr>
        <w:t>Eid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clothes and items. </w:t>
      </w:r>
    </w:p>
    <w:p w:rsidR="00586D19" w:rsidRDefault="009A7ABF" w:rsidP="001676DB">
      <w:pPr>
        <w:pStyle w:val="NoSpacing"/>
        <w:numPr>
          <w:ilvl w:val="0"/>
          <w:numId w:val="12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Essam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A.” 52 years old, farmer, and a resident of the Department of </w:t>
      </w:r>
      <w:proofErr w:type="spellStart"/>
      <w:r>
        <w:rPr>
          <w:rFonts w:asciiTheme="majorBidi" w:hAnsiTheme="majorBidi" w:cstheme="majorBidi"/>
          <w:sz w:val="24"/>
          <w:szCs w:val="24"/>
        </w:rPr>
        <w:t>Wadi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Natroun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Beheira</w:t>
      </w:r>
      <w:proofErr w:type="spellEnd"/>
      <w:r>
        <w:rPr>
          <w:rFonts w:asciiTheme="majorBidi" w:hAnsiTheme="majorBidi" w:cstheme="majorBidi"/>
          <w:sz w:val="24"/>
          <w:szCs w:val="24"/>
        </w:rPr>
        <w:t>, committed suicide by eating a poisonous tablet used in the preservation of grain, on June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because of passing through financial distress. </w:t>
      </w:r>
    </w:p>
    <w:p w:rsidR="00586D19" w:rsidRDefault="009A7ABF" w:rsidP="001676DB">
      <w:pPr>
        <w:pStyle w:val="NoSpacing"/>
        <w:numPr>
          <w:ilvl w:val="0"/>
          <w:numId w:val="12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"M. A." 47, a Managing Director of a company, on June 12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committed suicide by throwing himself fro</w:t>
      </w:r>
      <w:r>
        <w:rPr>
          <w:rFonts w:asciiTheme="majorBidi" w:hAnsiTheme="majorBidi" w:cstheme="majorBidi"/>
          <w:sz w:val="24"/>
          <w:szCs w:val="24"/>
        </w:rPr>
        <w:t>m the 9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floor of his residence in Nasr City district because of financial difficulties. </w:t>
      </w:r>
    </w:p>
    <w:p w:rsidR="00586D19" w:rsidRDefault="009A7ABF" w:rsidP="001676DB">
      <w:pPr>
        <w:pStyle w:val="NoSpacing"/>
        <w:numPr>
          <w:ilvl w:val="0"/>
          <w:numId w:val="12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young man in the third decade of age, committed suicide by hanging from the roof of his house in </w:t>
      </w:r>
      <w:proofErr w:type="spellStart"/>
      <w:r>
        <w:rPr>
          <w:rFonts w:asciiTheme="majorBidi" w:hAnsiTheme="majorBidi" w:cstheme="majorBidi"/>
          <w:sz w:val="24"/>
          <w:szCs w:val="24"/>
        </w:rPr>
        <w:t>Hadaeq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Qubbah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June 15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. Investigations revealed that he was</w:t>
      </w:r>
      <w:r>
        <w:rPr>
          <w:rFonts w:asciiTheme="majorBidi" w:hAnsiTheme="majorBidi" w:cstheme="majorBidi"/>
          <w:sz w:val="24"/>
          <w:szCs w:val="24"/>
        </w:rPr>
        <w:t xml:space="preserve"> employed in tourism and suffered a psychological condition because he was unable to get married for financial reasons. </w:t>
      </w:r>
    </w:p>
    <w:p w:rsidR="00586D19" w:rsidRDefault="009A7ABF" w:rsidP="001676DB">
      <w:pPr>
        <w:pStyle w:val="NoSpacing"/>
        <w:numPr>
          <w:ilvl w:val="0"/>
          <w:numId w:val="12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"N. E. A." 50 years, a motorcycle driver committed suicide by electrifying himself in </w:t>
      </w:r>
      <w:proofErr w:type="spellStart"/>
      <w:r>
        <w:rPr>
          <w:rFonts w:asciiTheme="majorBidi" w:hAnsiTheme="majorBidi" w:cstheme="majorBidi"/>
          <w:sz w:val="24"/>
          <w:szCs w:val="24"/>
        </w:rPr>
        <w:t>Toukh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Qalubia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June 25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after disputes betw</w:t>
      </w:r>
      <w:r>
        <w:rPr>
          <w:rFonts w:asciiTheme="majorBidi" w:hAnsiTheme="majorBidi" w:cstheme="majorBidi"/>
          <w:sz w:val="24"/>
          <w:szCs w:val="24"/>
        </w:rPr>
        <w:t>een him and his wife because of the expenses of the house.</w:t>
      </w:r>
    </w:p>
    <w:p w:rsidR="00586D19" w:rsidRDefault="00586D19" w:rsidP="001676DB">
      <w:pPr>
        <w:pStyle w:val="NoSpacing"/>
        <w:tabs>
          <w:tab w:val="left" w:pos="450"/>
        </w:tabs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Threatening to protest: 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cases were monitored as follows:</w:t>
      </w:r>
    </w:p>
    <w:p w:rsidR="00586D19" w:rsidRDefault="009A7ABF" w:rsidP="001676DB">
      <w:pPr>
        <w:pStyle w:val="NoSpacing"/>
        <w:numPr>
          <w:ilvl w:val="0"/>
          <w:numId w:val="13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June 10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the Union of Representatives and Activists threatened the owners of the old properties threatened to organize a vigil on J</w:t>
      </w:r>
      <w:r>
        <w:rPr>
          <w:rFonts w:asciiTheme="majorBidi" w:hAnsiTheme="majorBidi" w:cstheme="majorBidi"/>
          <w:sz w:val="24"/>
          <w:szCs w:val="24"/>
        </w:rPr>
        <w:t>une 14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Fustat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Park in </w:t>
      </w:r>
      <w:proofErr w:type="spellStart"/>
      <w:r>
        <w:rPr>
          <w:rFonts w:asciiTheme="majorBidi" w:hAnsiTheme="majorBidi" w:cstheme="majorBidi"/>
          <w:sz w:val="24"/>
          <w:szCs w:val="24"/>
        </w:rPr>
        <w:t>Ein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>
        <w:rPr>
          <w:rFonts w:asciiTheme="majorBidi" w:hAnsiTheme="majorBidi" w:cstheme="majorBidi"/>
          <w:sz w:val="24"/>
          <w:szCs w:val="24"/>
        </w:rPr>
        <w:t>Seara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order to demand the liberation of all types of old rents. </w:t>
      </w:r>
    </w:p>
    <w:p w:rsidR="00586D19" w:rsidRDefault="009A7ABF" w:rsidP="001676DB">
      <w:pPr>
        <w:pStyle w:val="NoSpacing"/>
        <w:numPr>
          <w:ilvl w:val="0"/>
          <w:numId w:val="13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MP Ahmed </w:t>
      </w:r>
      <w:proofErr w:type="spellStart"/>
      <w:r>
        <w:rPr>
          <w:rFonts w:asciiTheme="majorBidi" w:hAnsiTheme="majorBidi" w:cstheme="majorBidi"/>
          <w:sz w:val="24"/>
          <w:szCs w:val="24"/>
        </w:rPr>
        <w:t>Baali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Member of the House of Representatives for Nation's Future Party in Ismailia threatened to have sit in the parliament during the plenary se</w:t>
      </w:r>
      <w:r>
        <w:rPr>
          <w:rFonts w:asciiTheme="majorBidi" w:hAnsiTheme="majorBidi" w:cstheme="majorBidi"/>
          <w:sz w:val="24"/>
          <w:szCs w:val="24"/>
        </w:rPr>
        <w:t>ssion on June 10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because the delay of Al-</w:t>
      </w:r>
      <w:proofErr w:type="spellStart"/>
      <w:r>
        <w:rPr>
          <w:rFonts w:asciiTheme="majorBidi" w:hAnsiTheme="majorBidi" w:cstheme="majorBidi"/>
          <w:sz w:val="24"/>
          <w:szCs w:val="24"/>
        </w:rPr>
        <w:t>Qassas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 operation and the completion of the development of the hospital of Tel Al-</w:t>
      </w:r>
      <w:proofErr w:type="spellStart"/>
      <w:r>
        <w:rPr>
          <w:rFonts w:asciiTheme="majorBidi" w:hAnsiTheme="majorBidi" w:cstheme="majorBidi"/>
          <w:sz w:val="24"/>
          <w:szCs w:val="24"/>
        </w:rPr>
        <w:t>Kabir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fevers. </w:t>
      </w:r>
    </w:p>
    <w:p w:rsidR="00586D19" w:rsidRDefault="009A7ABF" w:rsidP="001676DB">
      <w:pPr>
        <w:pStyle w:val="NoSpacing"/>
        <w:numPr>
          <w:ilvl w:val="0"/>
          <w:numId w:val="13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Residents of phase 1 of Dar </w:t>
      </w:r>
      <w:proofErr w:type="spellStart"/>
      <w:r>
        <w:rPr>
          <w:rFonts w:asciiTheme="majorBidi" w:hAnsiTheme="majorBidi" w:cstheme="majorBidi"/>
          <w:sz w:val="24"/>
          <w:szCs w:val="24"/>
        </w:rPr>
        <w:t>Misr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Housing Project in </w:t>
      </w:r>
      <w:proofErr w:type="spellStart"/>
      <w:r>
        <w:rPr>
          <w:rFonts w:asciiTheme="majorBidi" w:hAnsiTheme="majorBidi" w:cstheme="majorBidi"/>
          <w:sz w:val="24"/>
          <w:szCs w:val="24"/>
        </w:rPr>
        <w:t>Shorouk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city on June 12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threatened to organize a prote</w:t>
      </w:r>
      <w:r>
        <w:rPr>
          <w:rFonts w:asciiTheme="majorBidi" w:hAnsiTheme="majorBidi" w:cstheme="majorBidi"/>
          <w:sz w:val="24"/>
          <w:szCs w:val="24"/>
        </w:rPr>
        <w:t>st on the morning of June 15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on the occasion of the 3 years passing of not completing the project facilities. </w:t>
      </w:r>
    </w:p>
    <w:p w:rsidR="00586D19" w:rsidRDefault="009A7ABF" w:rsidP="001676DB">
      <w:pPr>
        <w:pStyle w:val="NoSpacing"/>
        <w:numPr>
          <w:ilvl w:val="0"/>
          <w:numId w:val="13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Dozens of owners of units at phase1 Dar </w:t>
      </w:r>
      <w:proofErr w:type="spellStart"/>
      <w:r>
        <w:rPr>
          <w:rFonts w:asciiTheme="majorBidi" w:hAnsiTheme="majorBidi" w:cstheme="majorBidi"/>
          <w:sz w:val="24"/>
          <w:szCs w:val="24"/>
        </w:rPr>
        <w:t>Misr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Housing Project in </w:t>
      </w:r>
      <w:proofErr w:type="spellStart"/>
      <w:r>
        <w:rPr>
          <w:rFonts w:asciiTheme="majorBidi" w:hAnsiTheme="majorBidi" w:cstheme="majorBidi"/>
          <w:sz w:val="24"/>
          <w:szCs w:val="24"/>
        </w:rPr>
        <w:t>Shorouk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city on June 15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threatened to organize a protest to denounce the negl</w:t>
      </w:r>
      <w:r>
        <w:rPr>
          <w:rFonts w:asciiTheme="majorBidi" w:hAnsiTheme="majorBidi" w:cstheme="majorBidi"/>
          <w:sz w:val="24"/>
          <w:szCs w:val="24"/>
        </w:rPr>
        <w:t>ect of the project, and the delay of completion of the phase 1, despite the passage of 3 years on the dates of delivery.</w:t>
      </w:r>
    </w:p>
    <w:p w:rsidR="00586D19" w:rsidRDefault="00586D19" w:rsidP="001676DB">
      <w:pPr>
        <w:pStyle w:val="NoSpacing"/>
        <w:tabs>
          <w:tab w:val="left" w:pos="450"/>
        </w:tabs>
        <w:bidi w:val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Gatherings: 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cases were monitored as follows:</w:t>
      </w:r>
    </w:p>
    <w:p w:rsidR="00586D19" w:rsidRDefault="009A7ABF" w:rsidP="001676DB">
      <w:pPr>
        <w:pStyle w:val="NoSpacing"/>
        <w:numPr>
          <w:ilvl w:val="0"/>
          <w:numId w:val="14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Dozens of people residents of </w:t>
      </w:r>
      <w:proofErr w:type="spellStart"/>
      <w:r>
        <w:rPr>
          <w:rFonts w:asciiTheme="majorBidi" w:hAnsiTheme="majorBidi" w:cstheme="majorBidi"/>
          <w:sz w:val="24"/>
          <w:szCs w:val="24"/>
        </w:rPr>
        <w:t>Nagaa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Arab in Mina al - Basal west of Alexandria, on </w:t>
      </w:r>
      <w:r>
        <w:rPr>
          <w:rFonts w:asciiTheme="majorBidi" w:hAnsiTheme="majorBidi" w:cstheme="majorBidi"/>
          <w:sz w:val="24"/>
          <w:szCs w:val="24"/>
        </w:rPr>
        <w:t>June 9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gathered in front of the house of the girl "</w:t>
      </w:r>
      <w:proofErr w:type="spellStart"/>
      <w:r>
        <w:rPr>
          <w:rFonts w:asciiTheme="majorBidi" w:hAnsiTheme="majorBidi" w:cstheme="majorBidi"/>
          <w:sz w:val="24"/>
          <w:szCs w:val="24"/>
        </w:rPr>
        <w:t>Sundus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who was killed by 3 brothers from her neighbors to steal her small earring, and they demanded the  execution of the 3 brothers. </w:t>
      </w:r>
    </w:p>
    <w:p w:rsidR="00586D19" w:rsidRDefault="009A7ABF" w:rsidP="001676DB">
      <w:pPr>
        <w:pStyle w:val="NoSpacing"/>
        <w:numPr>
          <w:ilvl w:val="0"/>
          <w:numId w:val="14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Secondary First Grade Students in </w:t>
      </w:r>
      <w:proofErr w:type="spellStart"/>
      <w:r>
        <w:rPr>
          <w:rFonts w:asciiTheme="majorBidi" w:hAnsiTheme="majorBidi" w:cstheme="majorBidi"/>
          <w:sz w:val="24"/>
          <w:szCs w:val="24"/>
        </w:rPr>
        <w:t>Qenaiat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Secondary School in </w:t>
      </w:r>
      <w:proofErr w:type="spellStart"/>
      <w:r>
        <w:rPr>
          <w:rFonts w:asciiTheme="majorBidi" w:hAnsiTheme="majorBidi" w:cstheme="majorBidi"/>
          <w:sz w:val="24"/>
          <w:szCs w:val="24"/>
        </w:rPr>
        <w:t>Shar</w:t>
      </w:r>
      <w:r>
        <w:rPr>
          <w:rFonts w:asciiTheme="majorBidi" w:hAnsiTheme="majorBidi" w:cstheme="majorBidi"/>
          <w:sz w:val="24"/>
          <w:szCs w:val="24"/>
        </w:rPr>
        <w:t>qia</w:t>
      </w:r>
      <w:proofErr w:type="spellEnd"/>
      <w:r>
        <w:rPr>
          <w:rFonts w:asciiTheme="majorBidi" w:hAnsiTheme="majorBidi" w:cstheme="majorBidi"/>
          <w:sz w:val="24"/>
          <w:szCs w:val="24"/>
        </w:rPr>
        <w:t>, on June 27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 protested against their results. The Director of the Educational Department addressed them to make complaints to the Ministry.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Sit-In: 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case of sit-ins was witnessed during June 2019 for social reasons, where:</w:t>
      </w:r>
    </w:p>
    <w:p w:rsidR="00586D19" w:rsidRDefault="009A7ABF" w:rsidP="001676DB">
      <w:pPr>
        <w:pStyle w:val="NoSpacing"/>
        <w:numPr>
          <w:ilvl w:val="0"/>
          <w:numId w:val="9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Members of the </w:t>
      </w:r>
      <w:r>
        <w:rPr>
          <w:rFonts w:asciiTheme="majorBidi" w:hAnsiTheme="majorBidi" w:cstheme="majorBidi"/>
          <w:sz w:val="24"/>
          <w:szCs w:val="24"/>
        </w:rPr>
        <w:t>"</w:t>
      </w:r>
      <w:proofErr w:type="spellStart"/>
      <w:r>
        <w:rPr>
          <w:rFonts w:asciiTheme="majorBidi" w:hAnsiTheme="majorBidi" w:cstheme="majorBidi"/>
          <w:sz w:val="24"/>
          <w:szCs w:val="24"/>
        </w:rPr>
        <w:t>Shahbandar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list at the Chamber of Commerce in </w:t>
      </w:r>
      <w:proofErr w:type="spellStart"/>
      <w:r>
        <w:rPr>
          <w:rFonts w:asciiTheme="majorBidi" w:hAnsiTheme="majorBidi" w:cstheme="majorBidi"/>
          <w:sz w:val="24"/>
          <w:szCs w:val="24"/>
        </w:rPr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held a sit-in on June 14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gramStart"/>
      <w:r>
        <w:rPr>
          <w:rFonts w:asciiTheme="majorBidi" w:hAnsiTheme="majorBidi" w:cstheme="majorBidi"/>
          <w:sz w:val="24"/>
          <w:szCs w:val="24"/>
        </w:rPr>
        <w:t>,  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objection to the grants granted by the members of the General Assembly to  the "Continuous Giving" list. The security services intervened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lastRenderedPageBreak/>
        <w:t xml:space="preserve">petition/complaint: 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case was</w:t>
      </w:r>
      <w:r>
        <w:rPr>
          <w:rFonts w:asciiTheme="majorBidi" w:hAnsiTheme="majorBidi" w:cstheme="majorBidi"/>
          <w:sz w:val="24"/>
          <w:szCs w:val="24"/>
        </w:rPr>
        <w:t xml:space="preserve"> monitored as follows:</w:t>
      </w:r>
    </w:p>
    <w:p w:rsidR="00586D19" w:rsidRDefault="009A7ABF" w:rsidP="001676DB">
      <w:pPr>
        <w:pStyle w:val="NoSpacing"/>
        <w:numPr>
          <w:ilvl w:val="0"/>
          <w:numId w:val="8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MP </w:t>
      </w:r>
      <w:proofErr w:type="spellStart"/>
      <w:r>
        <w:rPr>
          <w:rFonts w:asciiTheme="majorBidi" w:hAnsiTheme="majorBidi" w:cstheme="majorBidi"/>
          <w:sz w:val="24"/>
          <w:szCs w:val="24"/>
        </w:rPr>
        <w:t>Fathi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Qandil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started a sharp attack on officials of the water company in </w:t>
      </w:r>
      <w:proofErr w:type="spellStart"/>
      <w:r>
        <w:rPr>
          <w:rFonts w:asciiTheme="majorBidi" w:hAnsiTheme="majorBidi" w:cstheme="majorBidi"/>
          <w:sz w:val="24"/>
          <w:szCs w:val="24"/>
        </w:rPr>
        <w:t>Qena</w:t>
      </w:r>
      <w:proofErr w:type="spellEnd"/>
      <w:r>
        <w:rPr>
          <w:rFonts w:asciiTheme="majorBidi" w:hAnsiTheme="majorBidi" w:cstheme="majorBidi"/>
          <w:sz w:val="24"/>
          <w:szCs w:val="24"/>
        </w:rPr>
        <w:t>, on June 9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stressing that throughout the whole month of Ramadan there was no water in </w:t>
      </w:r>
      <w:proofErr w:type="spellStart"/>
      <w:r>
        <w:rPr>
          <w:rFonts w:asciiTheme="majorBidi" w:hAnsiTheme="majorBidi" w:cstheme="majorBidi"/>
          <w:sz w:val="24"/>
          <w:szCs w:val="24"/>
        </w:rPr>
        <w:t>Awlad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village.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road blocking: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case was monitored as </w:t>
      </w:r>
      <w:r>
        <w:rPr>
          <w:rFonts w:asciiTheme="majorBidi" w:hAnsiTheme="majorBidi" w:cstheme="majorBidi"/>
          <w:sz w:val="24"/>
          <w:szCs w:val="24"/>
        </w:rPr>
        <w:t>follows:</w:t>
      </w:r>
    </w:p>
    <w:p w:rsidR="00586D19" w:rsidRDefault="009A7ABF" w:rsidP="001676DB">
      <w:pPr>
        <w:pStyle w:val="NoSpacing"/>
        <w:numPr>
          <w:ilvl w:val="0"/>
          <w:numId w:val="9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citizen named "</w:t>
      </w:r>
      <w:proofErr w:type="spellStart"/>
      <w:r>
        <w:rPr>
          <w:rFonts w:asciiTheme="majorBidi" w:hAnsiTheme="majorBidi" w:cstheme="majorBidi"/>
          <w:sz w:val="24"/>
          <w:szCs w:val="24"/>
        </w:rPr>
        <w:t>Rozza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blocked the </w:t>
      </w:r>
      <w:proofErr w:type="spellStart"/>
      <w:r>
        <w:rPr>
          <w:rFonts w:asciiTheme="majorBidi" w:hAnsiTheme="majorBidi" w:cstheme="majorBidi"/>
          <w:sz w:val="24"/>
          <w:szCs w:val="24"/>
        </w:rPr>
        <w:t>Gharbia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Road on June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 following his departure from the Said al-</w:t>
      </w:r>
      <w:proofErr w:type="spellStart"/>
      <w:r>
        <w:rPr>
          <w:rFonts w:asciiTheme="majorBidi" w:hAnsiTheme="majorBidi" w:cstheme="majorBidi"/>
          <w:sz w:val="24"/>
          <w:szCs w:val="24"/>
        </w:rPr>
        <w:t>Badawi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Mosque and the completion of the celebration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Laylat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Qadr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demanding the lighting of the bridge of </w:t>
      </w:r>
      <w:proofErr w:type="spellStart"/>
      <w:r>
        <w:rPr>
          <w:rFonts w:asciiTheme="majorBidi" w:hAnsiTheme="majorBidi" w:cstheme="majorBidi"/>
          <w:sz w:val="24"/>
          <w:szCs w:val="24"/>
        </w:rPr>
        <w:t>Stouta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Square.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numPr>
          <w:ilvl w:val="0"/>
          <w:numId w:val="11"/>
        </w:numPr>
        <w:tabs>
          <w:tab w:val="left" w:pos="450"/>
        </w:tabs>
        <w:bidi w:val="0"/>
        <w:ind w:left="180" w:hanging="180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vigils: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case wa</w:t>
      </w:r>
      <w:r>
        <w:rPr>
          <w:rFonts w:asciiTheme="majorBidi" w:hAnsiTheme="majorBidi" w:cstheme="majorBidi"/>
          <w:sz w:val="24"/>
          <w:szCs w:val="24"/>
        </w:rPr>
        <w:t>s monitored as follows:</w:t>
      </w:r>
    </w:p>
    <w:p w:rsidR="00586D19" w:rsidRDefault="009A7ABF" w:rsidP="001676DB">
      <w:pPr>
        <w:pStyle w:val="NoSpacing"/>
        <w:numPr>
          <w:ilvl w:val="0"/>
          <w:numId w:val="8"/>
        </w:numPr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Members of the Al </w:t>
      </w:r>
      <w:proofErr w:type="spellStart"/>
      <w:r>
        <w:rPr>
          <w:rFonts w:asciiTheme="majorBidi" w:hAnsiTheme="majorBidi" w:cstheme="majorBidi"/>
          <w:sz w:val="24"/>
          <w:szCs w:val="24"/>
        </w:rPr>
        <w:t>Moqaweloun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Arab SC</w:t>
      </w:r>
      <w:proofErr w:type="gramStart"/>
      <w:r>
        <w:rPr>
          <w:rFonts w:asciiTheme="majorBidi" w:hAnsiTheme="majorBidi" w:cstheme="majorBidi"/>
          <w:sz w:val="24"/>
          <w:szCs w:val="24"/>
        </w:rPr>
        <w:t>,  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June 13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held a protest against the board of the club, due to poor services, demanding the need to pay attention to playgrounds and swimming pools, as well as the care of services, the e</w:t>
      </w:r>
      <w:r>
        <w:rPr>
          <w:rFonts w:asciiTheme="majorBidi" w:hAnsiTheme="majorBidi" w:cstheme="majorBidi"/>
          <w:sz w:val="24"/>
          <w:szCs w:val="24"/>
        </w:rPr>
        <w:t>stablishment of new swimming pools and a mosque within the club.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jc w:val="both"/>
        <w:rPr>
          <w:rFonts w:asciiTheme="majorBidi" w:hAnsiTheme="majorBidi" w:cstheme="majorBidi"/>
          <w:sz w:val="24"/>
          <w:szCs w:val="24"/>
        </w:rPr>
      </w:pPr>
      <w:r>
        <w:br w:type="page"/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Third: Geographical distribution of labor and professional protests: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Cairo topped the labor and professional protests for the month of June with 8 protests,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 While </w:t>
      </w:r>
      <w:proofErr w:type="spellStart"/>
      <w:r>
        <w:rPr>
          <w:rFonts w:asciiTheme="majorBidi" w:hAnsiTheme="majorBidi" w:cstheme="majorBidi"/>
          <w:sz w:val="24"/>
          <w:szCs w:val="24"/>
        </w:rPr>
        <w:t>Qalubia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came second </w:t>
      </w:r>
      <w:r>
        <w:rPr>
          <w:rFonts w:asciiTheme="majorBidi" w:hAnsiTheme="majorBidi" w:cstheme="majorBidi"/>
          <w:sz w:val="24"/>
          <w:szCs w:val="24"/>
        </w:rPr>
        <w:t>with 2 protests,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 And (Aswan, Luxor, Giza, </w:t>
      </w:r>
      <w:proofErr w:type="spellStart"/>
      <w:r>
        <w:rPr>
          <w:rFonts w:asciiTheme="majorBidi" w:hAnsiTheme="majorBidi" w:cstheme="majorBidi"/>
          <w:sz w:val="24"/>
          <w:szCs w:val="24"/>
        </w:rPr>
        <w:t>Menia</w:t>
      </w:r>
      <w:proofErr w:type="spellEnd"/>
      <w:r>
        <w:rPr>
          <w:rFonts w:asciiTheme="majorBidi" w:hAnsiTheme="majorBidi" w:cstheme="majorBidi"/>
          <w:sz w:val="24"/>
          <w:szCs w:val="24"/>
        </w:rPr>
        <w:t>, South Sinai, and Damietta) came third with 1 each.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jc w:val="both"/>
        <w:rPr>
          <w:rFonts w:asciiTheme="majorBidi" w:hAnsiTheme="majorBidi" w:cstheme="majorBidi"/>
          <w:sz w:val="24"/>
          <w:szCs w:val="24"/>
        </w:rPr>
      </w:pPr>
      <w:r>
        <w:br w:type="page"/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Fourth: Geographical distribution of social protests: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Cairo topped the social protests in June with 7 protests,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Alexandria came second with 2 protes</w:t>
      </w:r>
      <w:r>
        <w:rPr>
          <w:rFonts w:asciiTheme="majorBidi" w:hAnsiTheme="majorBidi" w:cstheme="majorBidi"/>
          <w:sz w:val="24"/>
          <w:szCs w:val="24"/>
        </w:rPr>
        <w:t>ts,</w:t>
      </w: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governorates of </w:t>
      </w:r>
      <w:proofErr w:type="spellStart"/>
      <w:r>
        <w:rPr>
          <w:rFonts w:asciiTheme="majorBidi" w:hAnsiTheme="majorBidi" w:cstheme="majorBidi"/>
          <w:sz w:val="24"/>
          <w:szCs w:val="24"/>
        </w:rPr>
        <w:t>Beheira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Sharqia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Gharbia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Qalubia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Qena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came third place with 1 each.</w:t>
      </w:r>
    </w:p>
    <w:p w:rsidR="00586D19" w:rsidRDefault="00586D19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tabs>
          <w:tab w:val="left" w:pos="45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jc w:val="both"/>
        <w:rPr>
          <w:rFonts w:asciiTheme="majorBidi" w:hAnsiTheme="majorBidi" w:cstheme="majorBidi"/>
          <w:sz w:val="24"/>
          <w:szCs w:val="24"/>
        </w:rPr>
      </w:pPr>
      <w:r>
        <w:br w:type="page"/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Fifth: Sectoral distribution of labor and professional protests: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sectors of education &amp; scientific research and textile &amp; weaving, occupied </w:t>
      </w:r>
      <w:r>
        <w:rPr>
          <w:rFonts w:asciiTheme="majorBidi" w:hAnsiTheme="majorBidi" w:cstheme="majorBidi"/>
          <w:sz w:val="24"/>
          <w:szCs w:val="24"/>
        </w:rPr>
        <w:t>the forefront of labor protests for the month of June with 3 protests,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 While the sectors of health, transport and communications came second by 2 protests for each the sectors of security, media, journalism, printing, publishing, agriculture, irrigation, </w:t>
      </w:r>
      <w:r>
        <w:rPr>
          <w:rFonts w:asciiTheme="majorBidi" w:hAnsiTheme="majorBidi" w:cstheme="majorBidi"/>
          <w:sz w:val="24"/>
          <w:szCs w:val="24"/>
        </w:rPr>
        <w:t>fishing, lawyers, tourism, localities and services ranked third with 1 protest each.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jc w:val="both"/>
        <w:rPr>
          <w:rFonts w:asciiTheme="majorBidi" w:hAnsiTheme="majorBidi" w:cstheme="majorBidi"/>
          <w:sz w:val="24"/>
          <w:szCs w:val="24"/>
        </w:rPr>
      </w:pPr>
      <w:r>
        <w:br w:type="page"/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Sixth: Sectoral Distribution of Social protests during June 2019: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"other" sector, which includes suicides due to poor living conditions came at the top of the </w:t>
      </w:r>
      <w:r>
        <w:rPr>
          <w:rFonts w:asciiTheme="majorBidi" w:hAnsiTheme="majorBidi" w:cstheme="majorBidi"/>
          <w:sz w:val="24"/>
          <w:szCs w:val="24"/>
        </w:rPr>
        <w:t>social sectors protesting in June by 5 cases,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housing sector came second with 3 protests,</w:t>
      </w:r>
    </w:p>
    <w:p w:rsidR="00586D19" w:rsidRDefault="009A7ABF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While the sectors of security, trade, education and scientific research, sports, health, localities and services, water, sanitation and electricity ranked third </w:t>
      </w:r>
      <w:r>
        <w:rPr>
          <w:rFonts w:asciiTheme="majorBidi" w:hAnsiTheme="majorBidi" w:cstheme="majorBidi"/>
          <w:sz w:val="24"/>
          <w:szCs w:val="24"/>
        </w:rPr>
        <w:t>with 1 each.</w:t>
      </w: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586D19" w:rsidP="001676DB">
      <w:pPr>
        <w:pStyle w:val="NoSpacing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86D19" w:rsidRDefault="009A7ABF" w:rsidP="001676DB">
      <w:pPr>
        <w:pStyle w:val="Normal1"/>
        <w:spacing w:after="200"/>
        <w:jc w:val="both"/>
        <w:rPr>
          <w:sz w:val="28"/>
          <w:szCs w:val="28"/>
        </w:rPr>
      </w:pPr>
      <w:r>
        <w:rPr>
          <w:noProof/>
          <w:rtl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D19" w:rsidRPr="001676DB" w:rsidRDefault="009A7ABF" w:rsidP="001676DB">
      <w:pPr>
        <w:pStyle w:val="Normal1"/>
        <w:bidi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676DB">
        <w:rPr>
          <w:rFonts w:asciiTheme="majorBidi" w:hAnsiTheme="majorBidi" w:cstheme="majorBidi"/>
          <w:b/>
          <w:sz w:val="24"/>
          <w:szCs w:val="24"/>
        </w:rPr>
        <w:t>The Arabic Network for Human Rights Information (ANHRI)</w:t>
      </w:r>
    </w:p>
    <w:p w:rsidR="00586D19" w:rsidRPr="001676DB" w:rsidRDefault="009A7ABF" w:rsidP="001676DB">
      <w:pPr>
        <w:pStyle w:val="Normal1"/>
        <w:bidi w:val="0"/>
        <w:jc w:val="both"/>
        <w:rPr>
          <w:b/>
        </w:rPr>
      </w:pPr>
      <w:r w:rsidRPr="001676DB">
        <w:rPr>
          <w:rFonts w:asciiTheme="majorBidi" w:hAnsiTheme="majorBidi" w:cstheme="majorBidi"/>
          <w:b/>
          <w:sz w:val="24"/>
          <w:szCs w:val="24"/>
        </w:rPr>
        <w:t>The Freedom of Expression for Labor and Social Movements Program</w:t>
      </w:r>
    </w:p>
    <w:p w:rsidR="00586D19" w:rsidRDefault="00586D19" w:rsidP="001676DB">
      <w:pPr>
        <w:pStyle w:val="Normal1"/>
        <w:spacing w:after="200"/>
        <w:jc w:val="both"/>
        <w:rPr>
          <w:b/>
          <w:color w:val="000000"/>
          <w:sz w:val="32"/>
          <w:szCs w:val="32"/>
        </w:rPr>
      </w:pPr>
    </w:p>
    <w:p w:rsidR="00586D19" w:rsidRDefault="00586D19" w:rsidP="001676DB">
      <w:pPr>
        <w:pStyle w:val="Normal1"/>
        <w:spacing w:after="200"/>
        <w:jc w:val="both"/>
        <w:rPr>
          <w:sz w:val="28"/>
          <w:szCs w:val="28"/>
        </w:rPr>
      </w:pPr>
    </w:p>
    <w:p w:rsidR="00586D19" w:rsidRDefault="00586D19" w:rsidP="001676DB">
      <w:pPr>
        <w:pStyle w:val="Normal1"/>
        <w:spacing w:after="200"/>
        <w:jc w:val="both"/>
        <w:rPr>
          <w:sz w:val="28"/>
          <w:szCs w:val="28"/>
        </w:rPr>
      </w:pPr>
    </w:p>
    <w:p w:rsidR="00586D19" w:rsidRDefault="00586D19" w:rsidP="001676DB">
      <w:pPr>
        <w:pStyle w:val="Normal1"/>
        <w:spacing w:after="200"/>
        <w:jc w:val="both"/>
        <w:rPr>
          <w:b/>
          <w:sz w:val="32"/>
          <w:szCs w:val="32"/>
        </w:rPr>
      </w:pPr>
    </w:p>
    <w:p w:rsidR="00586D19" w:rsidRDefault="00586D19" w:rsidP="001676DB">
      <w:pPr>
        <w:pStyle w:val="Normal1"/>
        <w:spacing w:after="200"/>
        <w:jc w:val="both"/>
        <w:rPr>
          <w:sz w:val="28"/>
          <w:szCs w:val="28"/>
        </w:rPr>
      </w:pPr>
    </w:p>
    <w:p w:rsidR="00586D19" w:rsidRDefault="00586D19" w:rsidP="001676DB">
      <w:pPr>
        <w:pStyle w:val="Normal1"/>
        <w:spacing w:after="200"/>
        <w:jc w:val="both"/>
      </w:pPr>
    </w:p>
    <w:sectPr w:rsidR="00586D19" w:rsidSect="001676DB">
      <w:footerReference w:type="default" r:id="rId14"/>
      <w:pgSz w:w="12240" w:h="15840"/>
      <w:pgMar w:top="1440" w:right="1440" w:bottom="1440" w:left="1440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BF" w:rsidRDefault="009A7ABF">
      <w:pPr>
        <w:spacing w:line="240" w:lineRule="auto"/>
      </w:pPr>
      <w:r>
        <w:separator/>
      </w:r>
    </w:p>
  </w:endnote>
  <w:endnote w:type="continuationSeparator" w:id="0">
    <w:p w:rsidR="009A7ABF" w:rsidRDefault="009A7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19" w:rsidRDefault="00586D19">
    <w:pPr>
      <w:pStyle w:val="Normal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BF" w:rsidRDefault="009A7ABF">
      <w:pPr>
        <w:spacing w:line="240" w:lineRule="auto"/>
      </w:pPr>
      <w:r>
        <w:separator/>
      </w:r>
    </w:p>
  </w:footnote>
  <w:footnote w:type="continuationSeparator" w:id="0">
    <w:p w:rsidR="009A7ABF" w:rsidRDefault="009A7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F9"/>
    <w:multiLevelType w:val="multilevel"/>
    <w:tmpl w:val="BB5C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342"/>
    <w:multiLevelType w:val="multilevel"/>
    <w:tmpl w:val="FD1268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E24"/>
    <w:multiLevelType w:val="multilevel"/>
    <w:tmpl w:val="DD8E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684273"/>
    <w:multiLevelType w:val="multilevel"/>
    <w:tmpl w:val="05B8D7F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430B0"/>
    <w:multiLevelType w:val="multilevel"/>
    <w:tmpl w:val="1816657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103"/>
    <w:multiLevelType w:val="multilevel"/>
    <w:tmpl w:val="1E585CF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409"/>
    <w:multiLevelType w:val="multilevel"/>
    <w:tmpl w:val="F406176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B34"/>
    <w:multiLevelType w:val="multilevel"/>
    <w:tmpl w:val="92846FE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6C3E"/>
    <w:multiLevelType w:val="multilevel"/>
    <w:tmpl w:val="C0227BB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3CF2"/>
    <w:multiLevelType w:val="multilevel"/>
    <w:tmpl w:val="BD9CA5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FB34DE"/>
    <w:multiLevelType w:val="multilevel"/>
    <w:tmpl w:val="F098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2588"/>
    <w:multiLevelType w:val="multilevel"/>
    <w:tmpl w:val="F7BCA1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4FF2"/>
    <w:multiLevelType w:val="multilevel"/>
    <w:tmpl w:val="5E020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DF05281"/>
    <w:multiLevelType w:val="multilevel"/>
    <w:tmpl w:val="DC2C3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71BE5"/>
    <w:multiLevelType w:val="multilevel"/>
    <w:tmpl w:val="AB6E3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9"/>
    <w:rsid w:val="001676DB"/>
    <w:rsid w:val="00586D19"/>
    <w:rsid w:val="009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0DDA"/>
  <w15:docId w15:val="{AE0163E7-3F8B-4D12-A038-8D168F8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line="276" w:lineRule="auto"/>
    </w:pPr>
  </w:style>
  <w:style w:type="paragraph" w:styleId="Heading1">
    <w:name w:val="heading 1"/>
    <w:next w:val="Normal1"/>
    <w:qFormat/>
    <w:rsid w:val="008B42DB"/>
    <w:pPr>
      <w:keepNext/>
      <w:keepLines/>
      <w:bidi/>
      <w:spacing w:before="400" w:after="120" w:line="276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next w:val="Normal1"/>
    <w:qFormat/>
    <w:rsid w:val="008B42DB"/>
    <w:pPr>
      <w:keepNext/>
      <w:keepLines/>
      <w:bidi/>
      <w:spacing w:before="360" w:after="120" w:line="276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next w:val="Normal1"/>
    <w:qFormat/>
    <w:rsid w:val="008B42DB"/>
    <w:pPr>
      <w:keepNext/>
      <w:keepLines/>
      <w:bidi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next w:val="Normal1"/>
    <w:qFormat/>
    <w:rsid w:val="008B42DB"/>
    <w:pPr>
      <w:keepNext/>
      <w:keepLines/>
      <w:bidi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next w:val="Normal1"/>
    <w:qFormat/>
    <w:rsid w:val="008B42DB"/>
    <w:pPr>
      <w:keepNext/>
      <w:keepLines/>
      <w:bidi/>
      <w:spacing w:before="240" w:after="80" w:line="276" w:lineRule="auto"/>
      <w:outlineLvl w:val="4"/>
    </w:pPr>
    <w:rPr>
      <w:color w:val="666666"/>
    </w:rPr>
  </w:style>
  <w:style w:type="paragraph" w:styleId="Heading6">
    <w:name w:val="heading 6"/>
    <w:next w:val="Normal1"/>
    <w:qFormat/>
    <w:rsid w:val="008B42DB"/>
    <w:pPr>
      <w:keepNext/>
      <w:keepLines/>
      <w:bidi/>
      <w:spacing w:before="240" w:after="80" w:line="276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749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74284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eastAsia="Arial" w:cs="Times New Roman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Normal1">
    <w:name w:val="Normal1"/>
    <w:qFormat/>
    <w:rsid w:val="008B42DB"/>
    <w:pPr>
      <w:bidi/>
      <w:spacing w:line="276" w:lineRule="auto"/>
    </w:pPr>
  </w:style>
  <w:style w:type="paragraph" w:styleId="Title">
    <w:name w:val="Title"/>
    <w:basedOn w:val="Normal1"/>
    <w:next w:val="Normal1"/>
    <w:qFormat/>
    <w:rsid w:val="008B42DB"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qFormat/>
    <w:rsid w:val="008B42DB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7490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284"/>
    <w:pPr>
      <w:bidi/>
    </w:pPr>
  </w:style>
  <w:style w:type="paragraph" w:styleId="Footer">
    <w:name w:val="footer"/>
    <w:basedOn w:val="Normal"/>
  </w:style>
  <w:style w:type="table" w:customStyle="1" w:styleId="TableNormal1">
    <w:name w:val="Table Normal1"/>
    <w:rsid w:val="008B42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mbria"/>
              </a:defRPr>
            </a:pPr>
            <a:r>
              <a:rPr lang="en-US" sz="1800" b="1" strike="noStrike" spc="-1">
                <a:solidFill>
                  <a:srgbClr val="000000"/>
                </a:solidFill>
                <a:latin typeface="Cambria"/>
              </a:rPr>
              <a:t>Geographical distribution of labor and professional protests: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Geographical distribution of labor and professional protests: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mbria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8"/>
                <c:pt idx="0">
                  <c:v>Demietta</c:v>
                </c:pt>
                <c:pt idx="1">
                  <c:v>Shouth Sinai</c:v>
                </c:pt>
                <c:pt idx="2">
                  <c:v>Menia</c:v>
                </c:pt>
                <c:pt idx="3">
                  <c:v>Giza</c:v>
                </c:pt>
                <c:pt idx="4">
                  <c:v>Luxor</c:v>
                </c:pt>
                <c:pt idx="5">
                  <c:v>Aswan</c:v>
                </c:pt>
                <c:pt idx="6">
                  <c:v>Qalubia</c:v>
                </c:pt>
                <c:pt idx="7">
                  <c:v>Cairo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9E-41EE-872A-91F6186F3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45351"/>
        <c:axId val="86508669"/>
      </c:barChart>
      <c:catAx>
        <c:axId val="5944535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86508669"/>
        <c:crosses val="autoZero"/>
        <c:auto val="1"/>
        <c:lblAlgn val="ctr"/>
        <c:lblOffset val="100"/>
        <c:noMultiLvlLbl val="1"/>
      </c:catAx>
      <c:valAx>
        <c:axId val="86508669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59445351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mbria"/>
              </a:defRPr>
            </a:pPr>
            <a:r>
              <a:rPr lang="en-US" sz="1800" b="1" strike="noStrike" spc="-1">
                <a:solidFill>
                  <a:srgbClr val="000000"/>
                </a:solidFill>
                <a:latin typeface="Cambria"/>
              </a:rPr>
              <a:t>Geographical distribution of social protests: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Geographical distribution of social protests: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mbria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8"/>
                <c:pt idx="0">
                  <c:v>Qena</c:v>
                </c:pt>
                <c:pt idx="1">
                  <c:v>Sohag</c:v>
                </c:pt>
                <c:pt idx="2">
                  <c:v>Qalubia</c:v>
                </c:pt>
                <c:pt idx="3">
                  <c:v>Gharbia</c:v>
                </c:pt>
                <c:pt idx="4">
                  <c:v>Sharqia</c:v>
                </c:pt>
                <c:pt idx="5">
                  <c:v>Beheira</c:v>
                </c:pt>
                <c:pt idx="6">
                  <c:v>Alexandria</c:v>
                </c:pt>
                <c:pt idx="7">
                  <c:v>Cairo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7-45C0-90AB-1CB3B3B22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36920"/>
        <c:axId val="8769028"/>
      </c:barChart>
      <c:catAx>
        <c:axId val="49736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8769028"/>
        <c:crosses val="autoZero"/>
        <c:auto val="1"/>
        <c:lblAlgn val="ctr"/>
        <c:lblOffset val="100"/>
        <c:noMultiLvlLbl val="1"/>
      </c:catAx>
      <c:valAx>
        <c:axId val="876902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49736920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mbria"/>
              </a:defRPr>
            </a:pPr>
            <a:r>
              <a:rPr lang="en-US" sz="1800" b="1" strike="noStrike" spc="-1">
                <a:solidFill>
                  <a:srgbClr val="000000"/>
                </a:solidFill>
                <a:latin typeface="Cambria"/>
              </a:rPr>
              <a:t>Sectoral distribution of labor and professional protests during June 2019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Sectoral distribution of labor and professional protests: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mbria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Localities and services</c:v>
                </c:pt>
                <c:pt idx="1">
                  <c:v>Tourism</c:v>
                </c:pt>
                <c:pt idx="2">
                  <c:v>Lawyers</c:v>
                </c:pt>
                <c:pt idx="3">
                  <c:v>Agriculture, fishing, and irrigation</c:v>
                </c:pt>
                <c:pt idx="4">
                  <c:v>Media, journalism, printing, and publishing</c:v>
                </c:pt>
                <c:pt idx="5">
                  <c:v>Security</c:v>
                </c:pt>
                <c:pt idx="6">
                  <c:v>Transportation</c:v>
                </c:pt>
                <c:pt idx="7">
                  <c:v>Health</c:v>
                </c:pt>
                <c:pt idx="8">
                  <c:v>Textiles and weaving</c:v>
                </c:pt>
                <c:pt idx="9">
                  <c:v>Education and scientific research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3-4471-902F-5BFF917B3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53289"/>
        <c:axId val="65257573"/>
      </c:barChart>
      <c:catAx>
        <c:axId val="3555328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65257573"/>
        <c:crosses val="autoZero"/>
        <c:auto val="1"/>
        <c:lblAlgn val="ctr"/>
        <c:lblOffset val="100"/>
        <c:noMultiLvlLbl val="1"/>
      </c:catAx>
      <c:valAx>
        <c:axId val="65257573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35553289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mbria"/>
              </a:defRPr>
            </a:pPr>
            <a:r>
              <a:rPr lang="en-US" sz="1800" b="1" strike="noStrike" spc="-1">
                <a:solidFill>
                  <a:srgbClr val="000000"/>
                </a:solidFill>
                <a:latin typeface="Cambria"/>
              </a:rPr>
              <a:t>Sectoral Distribution of Social protests during June 2019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Sectoral Distribution Social protests: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mbria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9"/>
                <c:pt idx="0">
                  <c:v>Water, sanitation, and electricity</c:v>
                </c:pt>
                <c:pt idx="1">
                  <c:v>Localities and services</c:v>
                </c:pt>
                <c:pt idx="2">
                  <c:v>Health</c:v>
                </c:pt>
                <c:pt idx="3">
                  <c:v>sports</c:v>
                </c:pt>
                <c:pt idx="4">
                  <c:v>education and scientific research</c:v>
                </c:pt>
                <c:pt idx="5">
                  <c:v>commerce</c:v>
                </c:pt>
                <c:pt idx="6">
                  <c:v>security</c:v>
                </c:pt>
                <c:pt idx="7">
                  <c:v>housing</c:v>
                </c:pt>
                <c:pt idx="8">
                  <c:v>Other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6-49E2-8ABE-06DF0D0FA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44206"/>
        <c:axId val="73529350"/>
      </c:barChart>
      <c:catAx>
        <c:axId val="9234420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73529350"/>
        <c:crosses val="autoZero"/>
        <c:auto val="1"/>
        <c:lblAlgn val="ctr"/>
        <c:lblOffset val="100"/>
        <c:noMultiLvlLbl val="1"/>
      </c:catAx>
      <c:valAx>
        <c:axId val="73529350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mbria"/>
              </a:defRPr>
            </a:pPr>
            <a:endParaRPr lang="en-US"/>
          </a:p>
        </c:txPr>
        <c:crossAx val="92344206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dc:description/>
  <cp:lastModifiedBy>Hussain</cp:lastModifiedBy>
  <cp:revision>2</cp:revision>
  <dcterms:created xsi:type="dcterms:W3CDTF">2019-07-04T09:42:00Z</dcterms:created>
  <dcterms:modified xsi:type="dcterms:W3CDTF">2019-07-04T09:42:00Z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